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8" w:type="dxa"/>
        <w:tblLook w:val="0000" w:firstRow="0" w:lastRow="0" w:firstColumn="0" w:lastColumn="0" w:noHBand="0" w:noVBand="0"/>
      </w:tblPr>
      <w:tblGrid>
        <w:gridCol w:w="4050"/>
        <w:gridCol w:w="5310"/>
      </w:tblGrid>
      <w:tr w:rsidR="00852027" w:rsidRPr="00AF77ED" w:rsidTr="008F3A57">
        <w:tc>
          <w:tcPr>
            <w:tcW w:w="4050" w:type="dxa"/>
          </w:tcPr>
          <w:p w:rsidR="00852027" w:rsidRPr="00E6453A" w:rsidRDefault="00852027" w:rsidP="008F3A57">
            <w:pPr>
              <w:pStyle w:val="Heading1"/>
              <w:widowControl w:val="0"/>
              <w:rPr>
                <w:color w:val="000000"/>
                <w:sz w:val="24"/>
              </w:rPr>
            </w:pPr>
            <w:r w:rsidRPr="00E6453A">
              <w:rPr>
                <w:bCs w:val="0"/>
                <w:color w:val="000000"/>
                <w:sz w:val="24"/>
              </w:rPr>
              <w:t>BỘ KHOA HỌC VÀ CÔNG NGHỆ</w:t>
            </w:r>
          </w:p>
          <w:p w:rsidR="00852027" w:rsidRPr="00E6453A" w:rsidRDefault="00590283" w:rsidP="008F3A57">
            <w:pPr>
              <w:pStyle w:val="Heading1"/>
              <w:widowControl w:val="0"/>
              <w:ind w:firstLine="720"/>
              <w:rPr>
                <w:color w:val="000000"/>
                <w:sz w:val="24"/>
              </w:rPr>
            </w:pPr>
            <w:r>
              <w:rPr>
                <w:noProof/>
                <w:color w:val="000000"/>
                <w:sz w:val="24"/>
              </w:rPr>
              <mc:AlternateContent>
                <mc:Choice Requires="wps">
                  <w:drawing>
                    <wp:anchor distT="4294967295" distB="4294967295" distL="114300" distR="114300" simplePos="0" relativeHeight="251657728" behindDoc="0" locked="0" layoutInCell="1" allowOverlap="1">
                      <wp:simplePos x="0" y="0"/>
                      <wp:positionH relativeFrom="column">
                        <wp:posOffset>375920</wp:posOffset>
                      </wp:positionH>
                      <wp:positionV relativeFrom="paragraph">
                        <wp:posOffset>74929</wp:posOffset>
                      </wp:positionV>
                      <wp:extent cx="15417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2801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pt,5.9pt" to="15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"/>
                  </w:pict>
                </mc:Fallback>
              </mc:AlternateContent>
            </w:r>
          </w:p>
        </w:tc>
        <w:tc>
          <w:tcPr>
            <w:tcW w:w="5310" w:type="dxa"/>
          </w:tcPr>
          <w:p w:rsidR="00852027" w:rsidRPr="00E6453A" w:rsidRDefault="00852027" w:rsidP="00741F10">
            <w:pPr>
              <w:pStyle w:val="Heading1"/>
              <w:widowControl w:val="0"/>
              <w:jc w:val="center"/>
              <w:rPr>
                <w:color w:val="000000"/>
                <w:sz w:val="24"/>
              </w:rPr>
            </w:pPr>
            <w:r w:rsidRPr="00E6453A">
              <w:rPr>
                <w:color w:val="000000"/>
                <w:sz w:val="24"/>
              </w:rPr>
              <w:t>CỘNG HÒA XÃ HỘI CHỦ NGHĨA VIỆT NAM</w:t>
            </w:r>
          </w:p>
          <w:p w:rsidR="00852027" w:rsidRPr="00741F10" w:rsidRDefault="00852027" w:rsidP="00741F10">
            <w:pPr>
              <w:pStyle w:val="Heading1"/>
              <w:widowControl w:val="0"/>
              <w:jc w:val="center"/>
              <w:rPr>
                <w:color w:val="000000"/>
                <w:sz w:val="28"/>
                <w:szCs w:val="28"/>
              </w:rPr>
            </w:pPr>
            <w:r w:rsidRPr="00741F10">
              <w:rPr>
                <w:color w:val="000000"/>
                <w:sz w:val="28"/>
                <w:szCs w:val="28"/>
              </w:rPr>
              <w:t>Độc lập - Tự do - Hạnh phúc</w:t>
            </w:r>
          </w:p>
          <w:p w:rsidR="00852027" w:rsidRPr="00AF77ED" w:rsidRDefault="00590283" w:rsidP="00741F10">
            <w:pPr>
              <w:keepNext/>
              <w:widowControl w:val="0"/>
              <w:ind w:firstLine="720"/>
              <w:jc w:val="center"/>
              <w:rPr>
                <w:color w:val="000000"/>
              </w:rPr>
            </w:pPr>
            <w:r>
              <w:rPr>
                <w:noProof/>
                <w:color w:val="000000"/>
              </w:rPr>
              <mc:AlternateContent>
                <mc:Choice Requires="wps">
                  <w:drawing>
                    <wp:anchor distT="4294967295" distB="4294967295" distL="114300" distR="114300" simplePos="0" relativeHeight="251658752" behindDoc="0" locked="0" layoutInCell="1" allowOverlap="1">
                      <wp:simplePos x="0" y="0"/>
                      <wp:positionH relativeFrom="column">
                        <wp:posOffset>464820</wp:posOffset>
                      </wp:positionH>
                      <wp:positionV relativeFrom="paragraph">
                        <wp:posOffset>40004</wp:posOffset>
                      </wp:positionV>
                      <wp:extent cx="22828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4D943"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15pt" to="21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"/>
                  </w:pict>
                </mc:Fallback>
              </mc:AlternateContent>
            </w:r>
          </w:p>
        </w:tc>
      </w:tr>
      <w:tr w:rsidR="00852027" w:rsidRPr="00E6453A" w:rsidTr="008F3A57">
        <w:tc>
          <w:tcPr>
            <w:tcW w:w="4050" w:type="dxa"/>
          </w:tcPr>
          <w:p w:rsidR="00852027" w:rsidRPr="00E6453A" w:rsidRDefault="00852027" w:rsidP="00852027">
            <w:pPr>
              <w:keepNext/>
              <w:widowControl w:val="0"/>
              <w:rPr>
                <w:b/>
                <w:bCs/>
                <w:color w:val="000000"/>
              </w:rPr>
            </w:pPr>
          </w:p>
        </w:tc>
        <w:tc>
          <w:tcPr>
            <w:tcW w:w="5310" w:type="dxa"/>
          </w:tcPr>
          <w:p w:rsidR="00852027" w:rsidRPr="00E6453A" w:rsidRDefault="00852027" w:rsidP="00741F10">
            <w:pPr>
              <w:pStyle w:val="Heading1"/>
              <w:widowControl w:val="0"/>
              <w:jc w:val="center"/>
              <w:rPr>
                <w:b w:val="0"/>
                <w:bCs w:val="0"/>
                <w:color w:val="000000"/>
              </w:rPr>
            </w:pPr>
            <w:r w:rsidRPr="00E6453A">
              <w:rPr>
                <w:b w:val="0"/>
                <w:bCs w:val="0"/>
                <w:i/>
                <w:iCs/>
                <w:color w:val="000000"/>
                <w:sz w:val="28"/>
                <w:szCs w:val="28"/>
              </w:rPr>
              <w:t xml:space="preserve">Hà Nội, ngày </w:t>
            </w:r>
            <w:r w:rsidR="00FC352E">
              <w:rPr>
                <w:b w:val="0"/>
                <w:bCs w:val="0"/>
                <w:i/>
                <w:iCs/>
                <w:color w:val="000000"/>
                <w:sz w:val="28"/>
                <w:szCs w:val="28"/>
              </w:rPr>
              <w:t xml:space="preserve">  </w:t>
            </w:r>
            <w:r>
              <w:rPr>
                <w:b w:val="0"/>
                <w:bCs w:val="0"/>
                <w:i/>
                <w:iCs/>
                <w:color w:val="000000"/>
                <w:sz w:val="28"/>
                <w:szCs w:val="28"/>
              </w:rPr>
              <w:t xml:space="preserve">  </w:t>
            </w:r>
            <w:r w:rsidRPr="00E6453A">
              <w:rPr>
                <w:b w:val="0"/>
                <w:bCs w:val="0"/>
                <w:i/>
                <w:iCs/>
                <w:color w:val="000000"/>
                <w:sz w:val="28"/>
                <w:szCs w:val="28"/>
              </w:rPr>
              <w:t xml:space="preserve">  tháng </w:t>
            </w:r>
            <w:r w:rsidR="00C47362">
              <w:rPr>
                <w:b w:val="0"/>
                <w:bCs w:val="0"/>
                <w:i/>
                <w:iCs/>
                <w:color w:val="000000"/>
                <w:sz w:val="28"/>
                <w:szCs w:val="28"/>
              </w:rPr>
              <w:t>10</w:t>
            </w:r>
            <w:r>
              <w:rPr>
                <w:b w:val="0"/>
                <w:bCs w:val="0"/>
                <w:i/>
                <w:iCs/>
                <w:color w:val="000000"/>
                <w:sz w:val="28"/>
                <w:szCs w:val="28"/>
              </w:rPr>
              <w:t xml:space="preserve"> </w:t>
            </w:r>
            <w:bookmarkStart w:id="0" w:name="_GoBack"/>
            <w:bookmarkEnd w:id="0"/>
            <w:r w:rsidRPr="00E6453A">
              <w:rPr>
                <w:b w:val="0"/>
                <w:bCs w:val="0"/>
                <w:i/>
                <w:iCs/>
                <w:color w:val="000000"/>
                <w:sz w:val="28"/>
                <w:szCs w:val="28"/>
              </w:rPr>
              <w:t>năm 20</w:t>
            </w:r>
            <w:r w:rsidR="00C47362">
              <w:rPr>
                <w:b w:val="0"/>
                <w:bCs w:val="0"/>
                <w:i/>
                <w:iCs/>
                <w:color w:val="000000"/>
                <w:sz w:val="28"/>
                <w:szCs w:val="28"/>
              </w:rPr>
              <w:t>20</w:t>
            </w:r>
          </w:p>
        </w:tc>
      </w:tr>
    </w:tbl>
    <w:p w:rsidR="00F952F4" w:rsidRDefault="00F952F4" w:rsidP="00F952F4">
      <w:pPr>
        <w:spacing w:before="240" w:line="360" w:lineRule="exact"/>
        <w:jc w:val="center"/>
        <w:rPr>
          <w:b/>
          <w:bCs/>
        </w:rPr>
      </w:pPr>
      <w:r w:rsidRPr="007E4B99">
        <w:rPr>
          <w:b/>
          <w:bCs/>
        </w:rPr>
        <w:t xml:space="preserve">BÁO CÁO </w:t>
      </w:r>
    </w:p>
    <w:p w:rsidR="00234232" w:rsidRDefault="00F952F4" w:rsidP="00F952F4">
      <w:pPr>
        <w:jc w:val="center"/>
        <w:rPr>
          <w:b/>
          <w:bCs/>
        </w:rPr>
      </w:pPr>
      <w:r>
        <w:rPr>
          <w:b/>
          <w:bCs/>
        </w:rPr>
        <w:t>Đánh giá</w:t>
      </w:r>
      <w:r w:rsidRPr="007E4B99">
        <w:rPr>
          <w:b/>
          <w:bCs/>
        </w:rPr>
        <w:t xml:space="preserve"> thi hành </w:t>
      </w:r>
      <w:r>
        <w:rPr>
          <w:b/>
          <w:bCs/>
        </w:rPr>
        <w:t xml:space="preserve">Nghị định </w:t>
      </w:r>
      <w:r w:rsidR="00EA7124">
        <w:rPr>
          <w:b/>
          <w:bCs/>
        </w:rPr>
        <w:t>số</w:t>
      </w:r>
      <w:r>
        <w:rPr>
          <w:b/>
          <w:bCs/>
        </w:rPr>
        <w:t xml:space="preserve"> </w:t>
      </w:r>
      <w:r w:rsidR="005639F1">
        <w:rPr>
          <w:b/>
          <w:bCs/>
        </w:rPr>
        <w:t>119</w:t>
      </w:r>
      <w:r>
        <w:rPr>
          <w:b/>
          <w:bCs/>
        </w:rPr>
        <w:t>/201</w:t>
      </w:r>
      <w:r w:rsidR="005639F1">
        <w:rPr>
          <w:b/>
          <w:bCs/>
        </w:rPr>
        <w:t>7</w:t>
      </w:r>
      <w:r>
        <w:rPr>
          <w:b/>
          <w:bCs/>
        </w:rPr>
        <w:t xml:space="preserve">/NĐ-CP </w:t>
      </w:r>
      <w:r w:rsidR="00EA7124">
        <w:rPr>
          <w:b/>
          <w:bCs/>
        </w:rPr>
        <w:t xml:space="preserve">ngày </w:t>
      </w:r>
      <w:r w:rsidR="005639F1">
        <w:rPr>
          <w:b/>
          <w:bCs/>
        </w:rPr>
        <w:t>01</w:t>
      </w:r>
      <w:r w:rsidR="00EA7124">
        <w:rPr>
          <w:b/>
          <w:bCs/>
        </w:rPr>
        <w:t>/</w:t>
      </w:r>
      <w:r w:rsidR="005639F1">
        <w:rPr>
          <w:b/>
          <w:bCs/>
        </w:rPr>
        <w:t>11</w:t>
      </w:r>
      <w:r w:rsidR="00EA7124">
        <w:rPr>
          <w:b/>
          <w:bCs/>
        </w:rPr>
        <w:t>/201</w:t>
      </w:r>
      <w:r w:rsidR="005639F1">
        <w:rPr>
          <w:b/>
          <w:bCs/>
        </w:rPr>
        <w:t>7</w:t>
      </w:r>
      <w:r w:rsidR="00EA7124">
        <w:rPr>
          <w:b/>
          <w:bCs/>
        </w:rPr>
        <w:t xml:space="preserve"> </w:t>
      </w:r>
    </w:p>
    <w:p w:rsidR="00234232" w:rsidRDefault="00EA7124" w:rsidP="00F952F4">
      <w:pPr>
        <w:jc w:val="center"/>
        <w:rPr>
          <w:b/>
          <w:bCs/>
        </w:rPr>
      </w:pPr>
      <w:r>
        <w:rPr>
          <w:b/>
          <w:bCs/>
        </w:rPr>
        <w:t>của</w:t>
      </w:r>
      <w:r w:rsidR="00F952F4">
        <w:rPr>
          <w:b/>
          <w:bCs/>
        </w:rPr>
        <w:t xml:space="preserve"> Chính phủ </w:t>
      </w:r>
      <w:r>
        <w:rPr>
          <w:b/>
          <w:bCs/>
        </w:rPr>
        <w:t xml:space="preserve">quy định </w:t>
      </w:r>
      <w:r w:rsidR="00F952F4">
        <w:rPr>
          <w:b/>
          <w:bCs/>
        </w:rPr>
        <w:t xml:space="preserve">xử phạt vi phạm hành chính trong lĩnh vực </w:t>
      </w:r>
    </w:p>
    <w:p w:rsidR="00F952F4" w:rsidRPr="007E4B99" w:rsidRDefault="00EA7124" w:rsidP="00F952F4">
      <w:pPr>
        <w:jc w:val="center"/>
        <w:rPr>
          <w:b/>
          <w:bCs/>
        </w:rPr>
      </w:pPr>
      <w:r>
        <w:rPr>
          <w:b/>
          <w:bCs/>
        </w:rPr>
        <w:t>tiêu chuẩn, đo lường và chất lượng sản phẩm, hàng hóa</w:t>
      </w:r>
    </w:p>
    <w:p w:rsidR="00F952F4" w:rsidRDefault="00590283" w:rsidP="00F952F4">
      <w:pPr>
        <w:spacing w:before="120" w:line="360" w:lineRule="exact"/>
        <w:ind w:firstLine="720"/>
        <w:jc w:val="both"/>
      </w:pPr>
      <w:r>
        <w:rPr>
          <w:b/>
          <w:noProof/>
          <w:sz w:val="26"/>
        </w:rPr>
        <mc:AlternateContent>
          <mc:Choice Requires="wps">
            <w:drawing>
              <wp:anchor distT="0" distB="0" distL="114300" distR="114300" simplePos="0" relativeHeight="251656704" behindDoc="0" locked="0" layoutInCell="1" allowOverlap="1">
                <wp:simplePos x="0" y="0"/>
                <wp:positionH relativeFrom="column">
                  <wp:posOffset>1867535</wp:posOffset>
                </wp:positionH>
                <wp:positionV relativeFrom="paragraph">
                  <wp:posOffset>76835</wp:posOffset>
                </wp:positionV>
                <wp:extent cx="2023110" cy="0"/>
                <wp:effectExtent l="13335" t="13335" r="11430"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FEC4"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05pt,6.05pt" to="306.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"/>
            </w:pict>
          </mc:Fallback>
        </mc:AlternateContent>
      </w:r>
      <w:r w:rsidR="00F952F4" w:rsidRPr="00CF545F">
        <w:rPr>
          <w:lang w:val="vi-VN"/>
        </w:rPr>
        <w:t xml:space="preserve"> </w:t>
      </w:r>
    </w:p>
    <w:p w:rsidR="009F1651" w:rsidRPr="009F1651" w:rsidRDefault="009F1651" w:rsidP="009F1651">
      <w:pPr>
        <w:tabs>
          <w:tab w:val="left" w:pos="990"/>
        </w:tabs>
        <w:spacing w:before="120" w:after="120"/>
        <w:ind w:firstLine="720"/>
        <w:jc w:val="both"/>
        <w:rPr>
          <w:color w:val="000000"/>
          <w:kern w:val="28"/>
          <w:lang w:val="sv-SE"/>
        </w:rPr>
      </w:pPr>
      <w:r w:rsidRPr="009F1651">
        <w:rPr>
          <w:color w:val="000000"/>
          <w:kern w:val="28"/>
          <w:lang w:val="de-DE"/>
        </w:rPr>
        <w:t xml:space="preserve">Ngày 01/11/2017, Chính phủ đã ban hành </w:t>
      </w:r>
      <w:bookmarkStart w:id="1" w:name="_Hlk52972842"/>
      <w:r w:rsidRPr="009F1651">
        <w:rPr>
          <w:color w:val="000000"/>
          <w:kern w:val="28"/>
          <w:lang w:val="de-DE"/>
        </w:rPr>
        <w:t xml:space="preserve">Nghị định số </w:t>
      </w:r>
      <w:bookmarkStart w:id="2" w:name="_Hlk507417446"/>
      <w:r w:rsidRPr="009F1651">
        <w:rPr>
          <w:color w:val="000000"/>
          <w:kern w:val="28"/>
          <w:lang w:val="de-DE"/>
        </w:rPr>
        <w:t xml:space="preserve">119/2017/NĐ-CP </w:t>
      </w:r>
      <w:bookmarkEnd w:id="1"/>
      <w:bookmarkEnd w:id="2"/>
      <w:r w:rsidRPr="009F1651">
        <w:rPr>
          <w:color w:val="000000"/>
          <w:kern w:val="28"/>
          <w:lang w:val="de-DE"/>
        </w:rPr>
        <w:t xml:space="preserve">quy định về xử phạt vi phạm hành chính trong lĩnh vực tiêu chuẩn đo lường và chất lượng sản phẩm, hàng hóa (Nghị định số 119/2017/NĐ-CP). </w:t>
      </w:r>
      <w:r w:rsidRPr="009F1651">
        <w:rPr>
          <w:color w:val="000000"/>
          <w:kern w:val="28"/>
          <w:lang w:val="pt-BR"/>
        </w:rPr>
        <w:t>Nghị định này đã thể chế hóa các</w:t>
      </w:r>
      <w:r w:rsidR="008357F5">
        <w:rPr>
          <w:color w:val="000000"/>
          <w:kern w:val="28"/>
          <w:lang w:val="pt-BR"/>
        </w:rPr>
        <w:t xml:space="preserve"> các quy định của Luật Tiêu chuẩn và quy chuẩn kỹ thuật; Luật Đo lường; Luật Chất lượng sản phẩm, hàng h</w:t>
      </w:r>
      <w:r w:rsidR="00D4516D">
        <w:rPr>
          <w:color w:val="000000"/>
          <w:kern w:val="28"/>
          <w:lang w:val="pt-BR"/>
        </w:rPr>
        <w:t>óa</w:t>
      </w:r>
      <w:r w:rsidR="00D4516D" w:rsidRPr="00D4516D">
        <w:rPr>
          <w:color w:val="000000"/>
          <w:kern w:val="28"/>
          <w:lang w:val="pt-BR"/>
        </w:rPr>
        <w:t xml:space="preserve"> </w:t>
      </w:r>
      <w:r w:rsidR="00D4516D" w:rsidRPr="009F1651">
        <w:rPr>
          <w:color w:val="000000"/>
          <w:kern w:val="28"/>
          <w:lang w:val="pt-BR"/>
        </w:rPr>
        <w:t>để xử phạt</w:t>
      </w:r>
      <w:r w:rsidR="004F16CA">
        <w:rPr>
          <w:color w:val="000000"/>
          <w:kern w:val="28"/>
          <w:lang w:val="pt-BR"/>
        </w:rPr>
        <w:t xml:space="preserve"> đối với các</w:t>
      </w:r>
      <w:r w:rsidRPr="009F1651">
        <w:rPr>
          <w:color w:val="000000"/>
          <w:kern w:val="28"/>
          <w:lang w:val="pt-BR"/>
        </w:rPr>
        <w:t xml:space="preserve"> hành vi vi phạm trong lĩnh vực tiêu chuẩn, đo lường, chất lượng sản phẩm, hàng hóa, góp phần ngăn ngừa,</w:t>
      </w:r>
      <w:r w:rsidR="004F16CA">
        <w:rPr>
          <w:color w:val="000000"/>
          <w:kern w:val="28"/>
          <w:lang w:val="sv-SE"/>
        </w:rPr>
        <w:t>xử phạt nghiêm minh</w:t>
      </w:r>
      <w:r w:rsidRPr="009F1651">
        <w:rPr>
          <w:color w:val="000000"/>
          <w:kern w:val="28"/>
          <w:lang w:val="sv-SE"/>
        </w:rPr>
        <w:t>,</w:t>
      </w:r>
      <w:r w:rsidR="00936288">
        <w:rPr>
          <w:color w:val="000000"/>
          <w:kern w:val="28"/>
          <w:lang w:val="sv-SE"/>
        </w:rPr>
        <w:t xml:space="preserve"> kịp thời</w:t>
      </w:r>
      <w:r w:rsidRPr="009F1651">
        <w:rPr>
          <w:color w:val="000000"/>
          <w:kern w:val="28"/>
          <w:lang w:val="sv-SE"/>
        </w:rPr>
        <w:t xml:space="preserve"> </w:t>
      </w:r>
      <w:r w:rsidR="004F16CA">
        <w:rPr>
          <w:color w:val="000000"/>
          <w:kern w:val="28"/>
          <w:lang w:val="sv-SE"/>
        </w:rPr>
        <w:t>nhằm</w:t>
      </w:r>
      <w:r w:rsidR="00936288">
        <w:rPr>
          <w:color w:val="000000"/>
          <w:kern w:val="28"/>
          <w:lang w:val="sv-SE"/>
        </w:rPr>
        <w:t xml:space="preserve"> đảm bảo quyền, lợi ích chính đáng của </w:t>
      </w:r>
      <w:r w:rsidR="00611EFB">
        <w:rPr>
          <w:color w:val="000000"/>
          <w:kern w:val="28"/>
          <w:lang w:val="sv-SE"/>
        </w:rPr>
        <w:t>người tiêu dùng, xã hội,</w:t>
      </w:r>
      <w:r w:rsidR="004F16CA">
        <w:rPr>
          <w:color w:val="000000"/>
          <w:kern w:val="28"/>
          <w:lang w:val="sv-SE"/>
        </w:rPr>
        <w:t xml:space="preserve"> tạo</w:t>
      </w:r>
      <w:r w:rsidRPr="009F1651">
        <w:rPr>
          <w:color w:val="000000"/>
          <w:kern w:val="28"/>
          <w:lang w:val="sv-SE"/>
        </w:rPr>
        <w:t xml:space="preserve"> môi trường kinh doanh</w:t>
      </w:r>
      <w:r w:rsidR="00611EFB">
        <w:rPr>
          <w:color w:val="000000"/>
          <w:kern w:val="28"/>
          <w:lang w:val="sv-SE"/>
        </w:rPr>
        <w:t xml:space="preserve"> bình đẳng, phù hợp với </w:t>
      </w:r>
      <w:r w:rsidR="00523F2F">
        <w:rPr>
          <w:color w:val="000000"/>
          <w:kern w:val="28"/>
          <w:lang w:val="sv-SE"/>
        </w:rPr>
        <w:t>điều kiện thực tiễn Việt Nam và hội nhập quốc tế. Mặt khác, Nghị định đã</w:t>
      </w:r>
      <w:r w:rsidRPr="009F1651">
        <w:rPr>
          <w:color w:val="000000"/>
          <w:kern w:val="28"/>
          <w:lang w:val="sv-SE"/>
        </w:rPr>
        <w:t xml:space="preserve"> tạo thuận lợi cho các lực lượng thực thi trong quá trình áp dụng xử lý </w:t>
      </w:r>
      <w:r w:rsidRPr="009F1651">
        <w:rPr>
          <w:color w:val="000000"/>
          <w:kern w:val="28"/>
          <w:lang w:val="pt-BR"/>
        </w:rPr>
        <w:t xml:space="preserve">kịp thời </w:t>
      </w:r>
      <w:r w:rsidRPr="009F1651">
        <w:rPr>
          <w:color w:val="000000"/>
          <w:kern w:val="28"/>
          <w:lang w:val="sv-SE"/>
        </w:rPr>
        <w:t xml:space="preserve">các hành vi vi phạm, góp phần nâng cao hiệu lực và hiệu quả của quản lý nhà nước. </w:t>
      </w:r>
    </w:p>
    <w:p w:rsidR="00F952F4" w:rsidRDefault="00F952F4" w:rsidP="00F952F4">
      <w:pPr>
        <w:spacing w:before="120" w:after="120"/>
        <w:ind w:firstLine="720"/>
        <w:jc w:val="both"/>
      </w:pPr>
      <w:r w:rsidRPr="003339E7">
        <w:rPr>
          <w:lang w:val="vi-VN"/>
        </w:rPr>
        <w:t xml:space="preserve">Trên cơ sở kết quả </w:t>
      </w:r>
      <w:r>
        <w:t>đánh giá</w:t>
      </w:r>
      <w:r w:rsidRPr="003339E7">
        <w:rPr>
          <w:lang w:val="vi-VN"/>
        </w:rPr>
        <w:t xml:space="preserve"> </w:t>
      </w:r>
      <w:r>
        <w:t xml:space="preserve">03 năm </w:t>
      </w:r>
      <w:r w:rsidRPr="003339E7">
        <w:rPr>
          <w:lang w:val="vi-VN"/>
        </w:rPr>
        <w:t xml:space="preserve">thi hành, Bộ </w:t>
      </w:r>
      <w:r w:rsidR="002A0FBA">
        <w:t>Khoa học và Công nghệ</w:t>
      </w:r>
      <w:r w:rsidRPr="003339E7">
        <w:rPr>
          <w:lang w:val="vi-VN"/>
        </w:rPr>
        <w:t xml:space="preserve"> </w:t>
      </w:r>
      <w:r w:rsidR="009C7CA0">
        <w:t xml:space="preserve">(KH&amp;CN) </w:t>
      </w:r>
      <w:r w:rsidRPr="003339E7">
        <w:rPr>
          <w:lang w:val="vi-VN"/>
        </w:rPr>
        <w:t xml:space="preserve">báo cáo về tình hình thi hành </w:t>
      </w:r>
      <w:r>
        <w:t>Nghị định này</w:t>
      </w:r>
      <w:r w:rsidRPr="003339E7">
        <w:rPr>
          <w:lang w:val="vi-VN"/>
        </w:rPr>
        <w:t xml:space="preserve"> như sau:</w:t>
      </w:r>
    </w:p>
    <w:p w:rsidR="003A4738" w:rsidRDefault="003A4738" w:rsidP="009C23ED">
      <w:pPr>
        <w:widowControl w:val="0"/>
        <w:tabs>
          <w:tab w:val="left" w:pos="4148"/>
        </w:tabs>
        <w:jc w:val="center"/>
        <w:rPr>
          <w:b/>
        </w:rPr>
      </w:pPr>
    </w:p>
    <w:p w:rsidR="009C23ED" w:rsidRDefault="007D65E8" w:rsidP="009C23ED">
      <w:pPr>
        <w:widowControl w:val="0"/>
        <w:tabs>
          <w:tab w:val="left" w:pos="4148"/>
        </w:tabs>
        <w:jc w:val="center"/>
        <w:rPr>
          <w:b/>
          <w:lang w:val="vi-VN"/>
        </w:rPr>
      </w:pPr>
      <w:r>
        <w:rPr>
          <w:b/>
          <w:lang w:val="vi-VN"/>
        </w:rPr>
        <w:t>Phần thứ nhất</w:t>
      </w:r>
    </w:p>
    <w:p w:rsidR="00156A7C" w:rsidRPr="00766F61" w:rsidRDefault="00156A7C" w:rsidP="009C23ED">
      <w:pPr>
        <w:widowControl w:val="0"/>
        <w:tabs>
          <w:tab w:val="left" w:pos="4148"/>
        </w:tabs>
        <w:jc w:val="center"/>
        <w:rPr>
          <w:b/>
          <w:lang w:val="vi-VN"/>
        </w:rPr>
      </w:pPr>
    </w:p>
    <w:p w:rsidR="00F952F4" w:rsidRPr="00156A7C" w:rsidRDefault="00F952F4" w:rsidP="009C23ED">
      <w:pPr>
        <w:widowControl w:val="0"/>
        <w:jc w:val="center"/>
        <w:rPr>
          <w:b/>
        </w:rPr>
      </w:pPr>
      <w:r w:rsidRPr="00156A7C">
        <w:rPr>
          <w:b/>
          <w:lang w:val="vi-VN"/>
        </w:rPr>
        <w:t xml:space="preserve">KẾT QUẢ </w:t>
      </w:r>
      <w:r w:rsidRPr="00156A7C">
        <w:rPr>
          <w:b/>
        </w:rPr>
        <w:t>TRIỂN KHAI THỰC HIỆN</w:t>
      </w:r>
      <w:r w:rsidRPr="00156A7C">
        <w:rPr>
          <w:b/>
          <w:lang w:val="vi-VN"/>
        </w:rPr>
        <w:t xml:space="preserve"> </w:t>
      </w:r>
      <w:r w:rsidRPr="00156A7C">
        <w:rPr>
          <w:b/>
        </w:rPr>
        <w:t>NGHỊ ĐỊNH</w:t>
      </w:r>
      <w:r w:rsidR="001E3239" w:rsidRPr="00156A7C">
        <w:rPr>
          <w:b/>
        </w:rPr>
        <w:t xml:space="preserve"> </w:t>
      </w:r>
      <w:r w:rsidR="009F3773" w:rsidRPr="00156A7C">
        <w:rPr>
          <w:b/>
        </w:rPr>
        <w:t>119</w:t>
      </w:r>
      <w:r w:rsidR="001E3239" w:rsidRPr="00156A7C">
        <w:rPr>
          <w:b/>
        </w:rPr>
        <w:t>/201</w:t>
      </w:r>
      <w:r w:rsidR="009F3773" w:rsidRPr="00156A7C">
        <w:rPr>
          <w:b/>
        </w:rPr>
        <w:t>7</w:t>
      </w:r>
      <w:r w:rsidR="001E3239" w:rsidRPr="00156A7C">
        <w:rPr>
          <w:b/>
        </w:rPr>
        <w:t>/NĐ-CP</w:t>
      </w:r>
    </w:p>
    <w:p w:rsidR="00F952F4" w:rsidRDefault="00F952F4" w:rsidP="00D23A11">
      <w:pPr>
        <w:spacing w:before="240" w:after="120"/>
        <w:ind w:firstLine="720"/>
        <w:jc w:val="both"/>
        <w:rPr>
          <w:b/>
        </w:rPr>
      </w:pPr>
      <w:r>
        <w:rPr>
          <w:b/>
        </w:rPr>
        <w:t>1</w:t>
      </w:r>
      <w:r w:rsidRPr="00C60682">
        <w:rPr>
          <w:b/>
          <w:lang w:val="vi-VN"/>
        </w:rPr>
        <w:t xml:space="preserve">. </w:t>
      </w:r>
      <w:r>
        <w:rPr>
          <w:b/>
          <w:lang w:val="vi-VN"/>
        </w:rPr>
        <w:t>Công tác tuyên truyền, phổ biến</w:t>
      </w:r>
      <w:r>
        <w:rPr>
          <w:b/>
        </w:rPr>
        <w:t xml:space="preserve">, hướng dẫn thực hiện Nghị định </w:t>
      </w:r>
      <w:r w:rsidR="0068462D">
        <w:rPr>
          <w:b/>
        </w:rPr>
        <w:t>119/2017/NĐ-CP</w:t>
      </w:r>
      <w:r>
        <w:rPr>
          <w:b/>
        </w:rPr>
        <w:t xml:space="preserve"> </w:t>
      </w:r>
    </w:p>
    <w:p w:rsidR="00F952F4" w:rsidRDefault="00F952F4" w:rsidP="00F952F4">
      <w:pPr>
        <w:spacing w:before="120" w:after="120"/>
        <w:ind w:firstLine="720"/>
        <w:jc w:val="both"/>
      </w:pPr>
      <w:r w:rsidRPr="006009DE">
        <w:t>Công tác tuyên truyền, phổ biến, hướng dẫn thực hiện Nghị định này luôn được quan tâm</w:t>
      </w:r>
      <w:r>
        <w:t>, nhằm nâng cao nhận thức và ý thức chấp hành pháp luật của người dân</w:t>
      </w:r>
      <w:r w:rsidR="009F3773">
        <w:t>, doanh nghiệp</w:t>
      </w:r>
      <w:r>
        <w:t xml:space="preserve">. </w:t>
      </w:r>
      <w:r w:rsidR="009F3773">
        <w:t>Từ khi ban hành</w:t>
      </w:r>
      <w:r>
        <w:t>, v</w:t>
      </w:r>
      <w:r w:rsidRPr="007F4426">
        <w:rPr>
          <w:lang w:eastAsia="vi-VN"/>
        </w:rPr>
        <w:t>iệc</w:t>
      </w:r>
      <w:r w:rsidRPr="00424F85">
        <w:rPr>
          <w:lang w:val="vi-VN"/>
        </w:rPr>
        <w:t xml:space="preserve"> tuyên truyền, phổ biến, bồi dưỡng, tập huấn về kỹ năng, nghiệp vụ thanh tra, áp dụng pháp luật về xử lý vi phạm hành chính được các đơn vị thuộc Bộ</w:t>
      </w:r>
      <w:r w:rsidR="00312A39">
        <w:t>, Sở KHCN các tỉnh, thành phố</w:t>
      </w:r>
      <w:r w:rsidRPr="00424F85">
        <w:rPr>
          <w:lang w:val="vi-VN"/>
        </w:rPr>
        <w:t xml:space="preserve"> tổ chức thường xuyên, liên tục</w:t>
      </w:r>
      <w:r>
        <w:t>. Bộ đã chủ trì cũng như phối hợp với các Bộ ngành</w:t>
      </w:r>
      <w:r w:rsidR="00F362E3">
        <w:t>, địa phương</w:t>
      </w:r>
      <w:r w:rsidR="00852027">
        <w:t xml:space="preserve"> có liên quan tổ chức nhiều</w:t>
      </w:r>
      <w:r>
        <w:t xml:space="preserve"> lớp phổ biến, tuyên truyền về nghị định xử phạt vi phạm hành chính cho hàng ngàn lượt người từ các phòng chức năng, đơn vị thuộc </w:t>
      </w:r>
      <w:r w:rsidR="00305FE1">
        <w:t>Thanh tra Bộ KH&amp;CN, Tổng cục Tiêu chuẩn Đo lường Chất lượng</w:t>
      </w:r>
      <w:r w:rsidR="00CB1C6A">
        <w:t xml:space="preserve"> (TĐC)</w:t>
      </w:r>
      <w:r w:rsidR="00305FE1">
        <w:t>, Thanh tra Sở KH&amp;CN, Chi cục</w:t>
      </w:r>
      <w:r w:rsidR="00934DDC">
        <w:t xml:space="preserve"> </w:t>
      </w:r>
      <w:r w:rsidR="00CB1C6A">
        <w:t>TĐC</w:t>
      </w:r>
      <w:r w:rsidR="00737A79">
        <w:t xml:space="preserve"> của 63 tỉnh</w:t>
      </w:r>
      <w:r w:rsidR="00F21BDC">
        <w:t>,</w:t>
      </w:r>
      <w:r w:rsidR="00737A79">
        <w:t xml:space="preserve"> thành phố trực thuộc trung ương</w:t>
      </w:r>
      <w:r>
        <w:t xml:space="preserve">. Ngoài ra, </w:t>
      </w:r>
      <w:r w:rsidR="00CD262D">
        <w:t>các địa</w:t>
      </w:r>
      <w:r>
        <w:t xml:space="preserve"> phương cũng đã tổ chức các lớp để tuyên truyền, phổ biến các </w:t>
      </w:r>
      <w:r w:rsidR="00E9225F">
        <w:t xml:space="preserve">quy định của </w:t>
      </w:r>
      <w:r>
        <w:t xml:space="preserve">Nghị định xử phạt vi phạm hành chính </w:t>
      </w:r>
      <w:r w:rsidR="00E9225F">
        <w:t xml:space="preserve">trong lĩnh </w:t>
      </w:r>
      <w:r w:rsidR="00E9225F">
        <w:lastRenderedPageBreak/>
        <w:t xml:space="preserve">vực </w:t>
      </w:r>
      <w:r w:rsidR="000642F8">
        <w:t>tiêu chuẩn, đo lường và chất lượ</w:t>
      </w:r>
      <w:r w:rsidR="00E9225F">
        <w:t xml:space="preserve">ng sản phẩm, hàng hóa </w:t>
      </w:r>
      <w:r>
        <w:t>cho các tổ chức, cá nhân chịu sự tác động.</w:t>
      </w:r>
      <w:r w:rsidR="00852027">
        <w:t xml:space="preserve"> Bộ KH&amp;CN cũng đã ban hành Thông tư </w:t>
      </w:r>
      <w:r w:rsidR="00F916A3">
        <w:t>18</w:t>
      </w:r>
      <w:r w:rsidR="00852027">
        <w:t>/201</w:t>
      </w:r>
      <w:r w:rsidR="00F916A3">
        <w:t>8</w:t>
      </w:r>
      <w:r w:rsidR="00852027">
        <w:t xml:space="preserve">/TT-BKHCN ngày </w:t>
      </w:r>
      <w:r w:rsidR="00F916A3">
        <w:t>18</w:t>
      </w:r>
      <w:r w:rsidR="00852027">
        <w:t>/</w:t>
      </w:r>
      <w:r w:rsidR="00F916A3">
        <w:t>12</w:t>
      </w:r>
      <w:r w:rsidR="00852027">
        <w:t>/201</w:t>
      </w:r>
      <w:r w:rsidR="00F916A3">
        <w:t>8</w:t>
      </w:r>
      <w:r w:rsidR="00852027">
        <w:t xml:space="preserve"> để hướng dẫn thực hiện Nghị định </w:t>
      </w:r>
      <w:r w:rsidR="00F916A3">
        <w:t>119</w:t>
      </w:r>
      <w:r w:rsidR="00852027">
        <w:t>/201</w:t>
      </w:r>
      <w:r w:rsidR="00F916A3">
        <w:t>7</w:t>
      </w:r>
      <w:r w:rsidR="00852027">
        <w:t>/NĐ-CP.</w:t>
      </w:r>
    </w:p>
    <w:p w:rsidR="00F952F4" w:rsidRDefault="00F952F4" w:rsidP="00F21BDC">
      <w:pPr>
        <w:widowControl w:val="0"/>
        <w:tabs>
          <w:tab w:val="left" w:pos="720"/>
        </w:tabs>
        <w:spacing w:before="120" w:after="120"/>
        <w:ind w:firstLine="720"/>
        <w:jc w:val="both"/>
      </w:pPr>
      <w:r>
        <w:t xml:space="preserve">Công tác </w:t>
      </w:r>
      <w:r>
        <w:rPr>
          <w:lang w:eastAsia="vi-VN"/>
        </w:rPr>
        <w:t>tuyên</w:t>
      </w:r>
      <w:r>
        <w:t xml:space="preserve"> truyền </w:t>
      </w:r>
      <w:r>
        <w:rPr>
          <w:lang w:eastAsia="vi-VN"/>
        </w:rPr>
        <w:t>được</w:t>
      </w:r>
      <w:r>
        <w:t xml:space="preserve"> thể hiện dưới nhiều hình thức và nội dung phong phú như: tổ chức hội nghị</w:t>
      </w:r>
      <w:r w:rsidR="00852027">
        <w:t xml:space="preserve"> tập huấn</w:t>
      </w:r>
      <w:r>
        <w:t xml:space="preserve">, </w:t>
      </w:r>
      <w:r w:rsidR="00F21BDC">
        <w:t>hội thảo</w:t>
      </w:r>
      <w:r w:rsidR="00852027">
        <w:t xml:space="preserve"> chuyên đề</w:t>
      </w:r>
      <w:r w:rsidR="00F631B3">
        <w:t>, xây dựng tình huống pháp luật, viết tin, bài đăng lên trang thông tin điện tử…</w:t>
      </w:r>
      <w:r w:rsidR="00F21BDC">
        <w:t xml:space="preserve"> </w:t>
      </w:r>
    </w:p>
    <w:p w:rsidR="00F952F4" w:rsidRPr="00E43181" w:rsidRDefault="00F952F4" w:rsidP="00F952F4">
      <w:pPr>
        <w:widowControl w:val="0"/>
        <w:spacing w:before="120" w:after="120"/>
        <w:jc w:val="both"/>
        <w:rPr>
          <w:b/>
          <w:color w:val="000000" w:themeColor="text1"/>
        </w:rPr>
      </w:pPr>
      <w:r>
        <w:tab/>
      </w:r>
      <w:r w:rsidRPr="00E43181">
        <w:rPr>
          <w:b/>
          <w:color w:val="000000" w:themeColor="text1"/>
        </w:rPr>
        <w:t>2</w:t>
      </w:r>
      <w:r w:rsidRPr="00E43181">
        <w:rPr>
          <w:b/>
          <w:color w:val="000000" w:themeColor="text1"/>
          <w:lang w:val="vi-VN"/>
        </w:rPr>
        <w:t xml:space="preserve">. </w:t>
      </w:r>
      <w:r w:rsidRPr="00E43181">
        <w:rPr>
          <w:b/>
          <w:color w:val="000000" w:themeColor="text1"/>
        </w:rPr>
        <w:t xml:space="preserve">Công tác thanh tra và xử lý vi phạm </w:t>
      </w:r>
    </w:p>
    <w:p w:rsidR="00F952F4" w:rsidRPr="00E43181" w:rsidRDefault="00F952F4" w:rsidP="00350BD8">
      <w:pPr>
        <w:spacing w:before="120" w:after="120"/>
        <w:ind w:firstLine="720"/>
        <w:jc w:val="both"/>
        <w:rPr>
          <w:color w:val="000000" w:themeColor="text1"/>
          <w:lang w:val="vi-VN"/>
        </w:rPr>
      </w:pPr>
      <w:r w:rsidRPr="00E43181">
        <w:rPr>
          <w:color w:val="000000" w:themeColor="text1"/>
          <w:lang w:val="vi-VN"/>
        </w:rPr>
        <w:t xml:space="preserve">Công tác thanh tra </w:t>
      </w:r>
      <w:r w:rsidR="004D4580" w:rsidRPr="00E43181">
        <w:rPr>
          <w:color w:val="000000" w:themeColor="text1"/>
          <w:lang w:val="vi-VN"/>
        </w:rPr>
        <w:t>chuyên ngành về tiêu chuẩn, đo lường và chất lượng sản phẩm, hàng hóa do</w:t>
      </w:r>
      <w:r w:rsidRPr="00E43181">
        <w:rPr>
          <w:color w:val="000000" w:themeColor="text1"/>
          <w:lang w:val="vi-VN"/>
        </w:rPr>
        <w:t xml:space="preserve"> </w:t>
      </w:r>
      <w:r w:rsidR="00E9225F" w:rsidRPr="00E43181">
        <w:rPr>
          <w:color w:val="000000" w:themeColor="text1"/>
        </w:rPr>
        <w:t>Thanh tra Bộ KH&amp;</w:t>
      </w:r>
      <w:r w:rsidR="00F82A4A" w:rsidRPr="00E43181">
        <w:rPr>
          <w:color w:val="000000" w:themeColor="text1"/>
        </w:rPr>
        <w:t xml:space="preserve">CN, </w:t>
      </w:r>
      <w:r w:rsidRPr="00E43181">
        <w:rPr>
          <w:color w:val="000000" w:themeColor="text1"/>
          <w:lang w:val="vi-VN"/>
        </w:rPr>
        <w:t xml:space="preserve">Tổng cục </w:t>
      </w:r>
      <w:r w:rsidR="00CB1C6A" w:rsidRPr="00E43181">
        <w:rPr>
          <w:color w:val="000000" w:themeColor="text1"/>
        </w:rPr>
        <w:t>TĐC</w:t>
      </w:r>
      <w:r w:rsidR="00701243" w:rsidRPr="00E43181">
        <w:rPr>
          <w:color w:val="000000" w:themeColor="text1"/>
        </w:rPr>
        <w:t xml:space="preserve"> </w:t>
      </w:r>
      <w:r w:rsidR="004D4580" w:rsidRPr="00E43181">
        <w:rPr>
          <w:color w:val="000000" w:themeColor="text1"/>
          <w:lang w:val="vi-VN"/>
        </w:rPr>
        <w:t xml:space="preserve">và </w:t>
      </w:r>
      <w:r w:rsidR="00701243" w:rsidRPr="00E43181">
        <w:rPr>
          <w:color w:val="000000" w:themeColor="text1"/>
        </w:rPr>
        <w:t xml:space="preserve">Thanh tra Sở </w:t>
      </w:r>
      <w:r w:rsidR="009C7CA0" w:rsidRPr="00E43181">
        <w:rPr>
          <w:color w:val="000000" w:themeColor="text1"/>
        </w:rPr>
        <w:t>KH&amp;CN</w:t>
      </w:r>
      <w:r w:rsidR="00701243" w:rsidRPr="00E43181">
        <w:rPr>
          <w:color w:val="000000" w:themeColor="text1"/>
        </w:rPr>
        <w:t xml:space="preserve"> 63 tỉnh, thành phố </w:t>
      </w:r>
      <w:r w:rsidRPr="00E43181">
        <w:rPr>
          <w:color w:val="000000" w:themeColor="text1"/>
          <w:lang w:val="vi-VN"/>
        </w:rPr>
        <w:t xml:space="preserve">tiến hành trên cơ sở kế hoạch thanh tra được phê duyệt </w:t>
      </w:r>
      <w:r w:rsidR="00350BD8" w:rsidRPr="00E43181">
        <w:rPr>
          <w:color w:val="000000" w:themeColor="text1"/>
        </w:rPr>
        <w:t>và thanh tra đột xuất theo yêu cầu giải quyết khiếu nại, tố cáo</w:t>
      </w:r>
      <w:r w:rsidR="009C7CA0" w:rsidRPr="00E43181">
        <w:rPr>
          <w:color w:val="000000" w:themeColor="text1"/>
        </w:rPr>
        <w:t xml:space="preserve"> và yêu cầu quản lý.</w:t>
      </w:r>
    </w:p>
    <w:p w:rsidR="00F952F4" w:rsidRPr="00AF22E2" w:rsidRDefault="00F82A4A" w:rsidP="000C5965">
      <w:pPr>
        <w:widowControl w:val="0"/>
        <w:spacing w:before="240" w:after="120"/>
        <w:ind w:firstLine="720"/>
        <w:jc w:val="both"/>
        <w:rPr>
          <w:color w:val="000000" w:themeColor="text1"/>
        </w:rPr>
      </w:pPr>
      <w:r w:rsidRPr="00AF22E2">
        <w:rPr>
          <w:color w:val="000000" w:themeColor="text1"/>
        </w:rPr>
        <w:t>Kết quả</w:t>
      </w:r>
      <w:r w:rsidR="006E07AA">
        <w:rPr>
          <w:color w:val="000000" w:themeColor="text1"/>
        </w:rPr>
        <w:t>,</w:t>
      </w:r>
      <w:r w:rsidRPr="00AF22E2">
        <w:rPr>
          <w:color w:val="000000" w:themeColor="text1"/>
        </w:rPr>
        <w:t xml:space="preserve"> tình hình thanh tra</w:t>
      </w:r>
      <w:r w:rsidR="006E07AA">
        <w:rPr>
          <w:color w:val="000000" w:themeColor="text1"/>
        </w:rPr>
        <w:t>,</w:t>
      </w:r>
      <w:r w:rsidRPr="00AF22E2">
        <w:rPr>
          <w:color w:val="000000" w:themeColor="text1"/>
        </w:rPr>
        <w:t xml:space="preserve"> </w:t>
      </w:r>
      <w:r w:rsidR="00F952F4" w:rsidRPr="00AF22E2">
        <w:rPr>
          <w:color w:val="000000" w:themeColor="text1"/>
        </w:rPr>
        <w:t>xử phạt như sau:</w:t>
      </w:r>
    </w:p>
    <w:p w:rsidR="00AF22E2" w:rsidRPr="00AF22E2" w:rsidRDefault="00AF22E2" w:rsidP="00D44738">
      <w:pPr>
        <w:spacing w:before="120"/>
        <w:ind w:firstLine="720"/>
        <w:jc w:val="both"/>
        <w:rPr>
          <w:color w:val="000000" w:themeColor="text1"/>
          <w:lang w:val="it-IT"/>
        </w:rPr>
      </w:pPr>
      <w:r w:rsidRPr="00AF22E2">
        <w:rPr>
          <w:color w:val="000000" w:themeColor="text1"/>
          <w:lang w:val="it-IT"/>
        </w:rPr>
        <w:t>2.1</w:t>
      </w:r>
      <w:r w:rsidR="006E07AA">
        <w:rPr>
          <w:color w:val="000000" w:themeColor="text1"/>
          <w:lang w:val="it-IT"/>
        </w:rPr>
        <w:t>.</w:t>
      </w:r>
      <w:r w:rsidRPr="00AF22E2">
        <w:rPr>
          <w:color w:val="000000" w:themeColor="text1"/>
          <w:lang w:val="it-IT"/>
        </w:rPr>
        <w:t xml:space="preserve"> Kết quả năm 2018</w:t>
      </w:r>
    </w:p>
    <w:p w:rsidR="005C3BF5" w:rsidRPr="00AF22E2" w:rsidRDefault="00BD4BE8" w:rsidP="00D44738">
      <w:pPr>
        <w:spacing w:before="120"/>
        <w:ind w:firstLine="720"/>
        <w:jc w:val="both"/>
        <w:rPr>
          <w:color w:val="000000" w:themeColor="text1"/>
          <w:spacing w:val="-2"/>
        </w:rPr>
      </w:pPr>
      <w:r w:rsidRPr="00AF22E2">
        <w:rPr>
          <w:color w:val="000000" w:themeColor="text1"/>
          <w:lang w:val="it-IT"/>
        </w:rPr>
        <w:t>Năm 201</w:t>
      </w:r>
      <w:r w:rsidR="00D509D9" w:rsidRPr="00AF22E2">
        <w:rPr>
          <w:color w:val="000000" w:themeColor="text1"/>
          <w:lang w:val="it-IT"/>
        </w:rPr>
        <w:t>8</w:t>
      </w:r>
      <w:r w:rsidRPr="00AF22E2">
        <w:rPr>
          <w:color w:val="000000" w:themeColor="text1"/>
          <w:lang w:val="it-IT"/>
        </w:rPr>
        <w:t xml:space="preserve">, </w:t>
      </w:r>
      <w:r w:rsidR="00D44738" w:rsidRPr="00AF22E2">
        <w:rPr>
          <w:color w:val="000000" w:themeColor="text1"/>
          <w:spacing w:val="-2"/>
        </w:rPr>
        <w:t xml:space="preserve">Lực lượng thanh tra KH&amp;CN trong toàn ngành đã tiến hành thanh tra việc chấp hành các quy định của pháp luật trong lĩnh vực tiêu chuẩn, đo lường và chất lượng sản phẩm, hàng hóa đối với </w:t>
      </w:r>
      <w:r w:rsidR="00D509D9" w:rsidRPr="00AF22E2">
        <w:rPr>
          <w:color w:val="000000" w:themeColor="text1"/>
          <w:spacing w:val="-2"/>
        </w:rPr>
        <w:t>4.368</w:t>
      </w:r>
      <w:r w:rsidR="00C41C8B" w:rsidRPr="00AF22E2">
        <w:rPr>
          <w:color w:val="000000" w:themeColor="text1"/>
          <w:spacing w:val="-2"/>
        </w:rPr>
        <w:t xml:space="preserve"> tổ chức, cá nhân</w:t>
      </w:r>
      <w:r w:rsidR="00EA3875" w:rsidRPr="00AF22E2">
        <w:rPr>
          <w:color w:val="000000" w:themeColor="text1"/>
          <w:spacing w:val="-2"/>
        </w:rPr>
        <w:t xml:space="preserve"> (sau đây gọi tắt là cơ sở)</w:t>
      </w:r>
      <w:r w:rsidR="00C41C8B" w:rsidRPr="00AF22E2">
        <w:rPr>
          <w:color w:val="000000" w:themeColor="text1"/>
          <w:spacing w:val="-2"/>
        </w:rPr>
        <w:t xml:space="preserve"> sản xuất, kinh doanh</w:t>
      </w:r>
      <w:r w:rsidR="00D44738" w:rsidRPr="00AF22E2">
        <w:rPr>
          <w:color w:val="000000" w:themeColor="text1"/>
          <w:spacing w:val="-2"/>
        </w:rPr>
        <w:t>, mặt hàng thanh tra chủ yếu:</w:t>
      </w:r>
      <w:r w:rsidR="00D509D9" w:rsidRPr="00AF22E2">
        <w:rPr>
          <w:color w:val="000000" w:themeColor="text1"/>
          <w:spacing w:val="-2"/>
        </w:rPr>
        <w:t xml:space="preserve"> xăng dầu,</w:t>
      </w:r>
      <w:r w:rsidR="00D44738" w:rsidRPr="00AF22E2">
        <w:rPr>
          <w:color w:val="000000" w:themeColor="text1"/>
          <w:spacing w:val="-2"/>
        </w:rPr>
        <w:t xml:space="preserve"> </w:t>
      </w:r>
      <w:r w:rsidR="00D509D9" w:rsidRPr="00AF22E2">
        <w:rPr>
          <w:color w:val="000000" w:themeColor="text1"/>
          <w:spacing w:val="-2"/>
        </w:rPr>
        <w:t xml:space="preserve">khí dầu mỏ hóa lòng, hàng đóng gói săn, </w:t>
      </w:r>
      <w:r w:rsidR="00D44738" w:rsidRPr="00AF22E2">
        <w:rPr>
          <w:color w:val="000000" w:themeColor="text1"/>
          <w:spacing w:val="-2"/>
        </w:rPr>
        <w:t>mũ bảo hiểm, đồ chơi trẻ em, taximet, điện</w:t>
      </w:r>
      <w:r w:rsidR="00D509D9" w:rsidRPr="00AF22E2">
        <w:rPr>
          <w:color w:val="000000" w:themeColor="text1"/>
          <w:spacing w:val="-2"/>
        </w:rPr>
        <w:t xml:space="preserve"> -</w:t>
      </w:r>
      <w:r w:rsidR="00D44738" w:rsidRPr="00AF22E2">
        <w:rPr>
          <w:color w:val="000000" w:themeColor="text1"/>
          <w:spacing w:val="-2"/>
        </w:rPr>
        <w:t xml:space="preserve"> điện tử, vàng bạc trang sức, cân ô tô</w:t>
      </w:r>
      <w:r w:rsidR="00371498">
        <w:rPr>
          <w:color w:val="000000" w:themeColor="text1"/>
          <w:spacing w:val="-2"/>
        </w:rPr>
        <w:t>…</w:t>
      </w:r>
      <w:r w:rsidR="00D44738" w:rsidRPr="00AF22E2">
        <w:rPr>
          <w:color w:val="000000" w:themeColor="text1"/>
          <w:spacing w:val="-2"/>
        </w:rPr>
        <w:t xml:space="preserve">Qua thanh tra đã phát hiện </w:t>
      </w:r>
      <w:r w:rsidR="00D509D9" w:rsidRPr="00AF22E2">
        <w:rPr>
          <w:color w:val="000000" w:themeColor="text1"/>
          <w:spacing w:val="-2"/>
        </w:rPr>
        <w:t>388</w:t>
      </w:r>
      <w:r w:rsidR="00D44738" w:rsidRPr="00AF22E2">
        <w:rPr>
          <w:color w:val="000000" w:themeColor="text1"/>
          <w:spacing w:val="-2"/>
        </w:rPr>
        <w:t xml:space="preserve"> </w:t>
      </w:r>
      <w:r w:rsidR="00B2492A" w:rsidRPr="00AF22E2">
        <w:rPr>
          <w:color w:val="000000" w:themeColor="text1"/>
          <w:spacing w:val="-2"/>
        </w:rPr>
        <w:t xml:space="preserve">cơ sở </w:t>
      </w:r>
      <w:r w:rsidR="00D44738" w:rsidRPr="00AF22E2">
        <w:rPr>
          <w:color w:val="000000" w:themeColor="text1"/>
          <w:spacing w:val="-2"/>
        </w:rPr>
        <w:t xml:space="preserve">vi phạm, xử phạt vi phạm hành chính với số tiền phạt trên </w:t>
      </w:r>
      <w:r w:rsidR="00D509D9" w:rsidRPr="00AF22E2">
        <w:rPr>
          <w:color w:val="000000" w:themeColor="text1"/>
          <w:spacing w:val="-2"/>
        </w:rPr>
        <w:t>7,884</w:t>
      </w:r>
      <w:r w:rsidR="00D44738" w:rsidRPr="00AF22E2">
        <w:rPr>
          <w:color w:val="000000" w:themeColor="text1"/>
          <w:spacing w:val="-2"/>
        </w:rPr>
        <w:t xml:space="preserve"> tỷ đồng, </w:t>
      </w:r>
      <w:r w:rsidR="00D509D9" w:rsidRPr="00AF22E2">
        <w:rPr>
          <w:color w:val="000000" w:themeColor="text1"/>
          <w:spacing w:val="-2"/>
        </w:rPr>
        <w:t>kiến nghị thu hồi 52 triệu đồng</w:t>
      </w:r>
      <w:r w:rsidR="00D44738" w:rsidRPr="00AF22E2">
        <w:rPr>
          <w:color w:val="000000" w:themeColor="text1"/>
          <w:spacing w:val="-2"/>
        </w:rPr>
        <w:t>.</w:t>
      </w:r>
      <w:r w:rsidR="00C41C8B" w:rsidRPr="00AF22E2">
        <w:rPr>
          <w:color w:val="000000" w:themeColor="text1"/>
          <w:spacing w:val="-2"/>
        </w:rPr>
        <w:t xml:space="preserve"> </w:t>
      </w:r>
    </w:p>
    <w:p w:rsidR="00E43181" w:rsidRPr="00AF22E2" w:rsidRDefault="00D44738" w:rsidP="00C7161D">
      <w:pPr>
        <w:spacing w:before="120" w:after="120"/>
        <w:ind w:firstLine="720"/>
        <w:jc w:val="both"/>
        <w:rPr>
          <w:color w:val="000000" w:themeColor="text1"/>
        </w:rPr>
      </w:pPr>
      <w:r w:rsidRPr="00AF22E2">
        <w:rPr>
          <w:bCs/>
          <w:color w:val="000000" w:themeColor="text1"/>
        </w:rPr>
        <w:t>Năm 201</w:t>
      </w:r>
      <w:r w:rsidR="00A80148" w:rsidRPr="00AF22E2">
        <w:rPr>
          <w:bCs/>
          <w:color w:val="000000" w:themeColor="text1"/>
        </w:rPr>
        <w:t>8</w:t>
      </w:r>
      <w:r w:rsidR="009649CE" w:rsidRPr="00AF22E2">
        <w:rPr>
          <w:bCs/>
          <w:color w:val="000000" w:themeColor="text1"/>
        </w:rPr>
        <w:t>,</w:t>
      </w:r>
      <w:r w:rsidRPr="00AF22E2">
        <w:rPr>
          <w:bCs/>
          <w:color w:val="000000" w:themeColor="text1"/>
        </w:rPr>
        <w:t xml:space="preserve"> </w:t>
      </w:r>
      <w:r w:rsidR="009649CE" w:rsidRPr="00AF22E2">
        <w:rPr>
          <w:bCs/>
          <w:color w:val="000000" w:themeColor="text1"/>
        </w:rPr>
        <w:t xml:space="preserve">Bộ </w:t>
      </w:r>
      <w:r w:rsidRPr="00AF22E2">
        <w:rPr>
          <w:bCs/>
          <w:color w:val="000000" w:themeColor="text1"/>
        </w:rPr>
        <w:t xml:space="preserve">KH&amp;CN </w:t>
      </w:r>
      <w:r w:rsidR="009649CE" w:rsidRPr="00AF22E2">
        <w:rPr>
          <w:bCs/>
          <w:color w:val="000000" w:themeColor="text1"/>
        </w:rPr>
        <w:t xml:space="preserve">đã </w:t>
      </w:r>
      <w:r w:rsidRPr="00AF22E2">
        <w:rPr>
          <w:bCs/>
          <w:color w:val="000000" w:themeColor="text1"/>
        </w:rPr>
        <w:t xml:space="preserve">triển khai cuộc thanh tra chuyên đề diện rộng trên toàn quốc </w:t>
      </w:r>
      <w:r w:rsidR="00A80148" w:rsidRPr="00AF22E2">
        <w:rPr>
          <w:color w:val="000000" w:themeColor="text1"/>
        </w:rPr>
        <w:t>với nội dung</w:t>
      </w:r>
      <w:r w:rsidR="00F110F6">
        <w:rPr>
          <w:color w:val="000000" w:themeColor="text1"/>
        </w:rPr>
        <w:t>:</w:t>
      </w:r>
      <w:r w:rsidR="00A80148" w:rsidRPr="00AF22E2">
        <w:rPr>
          <w:color w:val="000000" w:themeColor="text1"/>
        </w:rPr>
        <w:t xml:space="preserve"> </w:t>
      </w:r>
      <w:r w:rsidR="00F110F6">
        <w:rPr>
          <w:color w:val="000000" w:themeColor="text1"/>
        </w:rPr>
        <w:t>“</w:t>
      </w:r>
      <w:r w:rsidR="00A80148" w:rsidRPr="00AF22E2">
        <w:rPr>
          <w:i/>
          <w:color w:val="000000" w:themeColor="text1"/>
          <w:lang w:eastAsia="vi-VN"/>
        </w:rPr>
        <w:t xml:space="preserve">Thanh tra việc chấp hành các quy định của pháp luật </w:t>
      </w:r>
      <w:r w:rsidR="00A80148" w:rsidRPr="00AF22E2">
        <w:rPr>
          <w:i/>
          <w:color w:val="000000" w:themeColor="text1"/>
        </w:rPr>
        <w:t>về tiêu chuẩn, đo lường, chất lượng trong kinh doanh xăng dầu; sử dụng mã số mã vạch; việc quản lý, tổ chức thực hiện Chương trình NTMN giai đoạn từ 2011 đến nay</w:t>
      </w:r>
      <w:r w:rsidR="00F110F6">
        <w:rPr>
          <w:i/>
          <w:color w:val="000000" w:themeColor="text1"/>
        </w:rPr>
        <w:t>”</w:t>
      </w:r>
      <w:r w:rsidRPr="00AF22E2">
        <w:rPr>
          <w:color w:val="000000" w:themeColor="text1"/>
        </w:rPr>
        <w:t xml:space="preserve">. </w:t>
      </w:r>
      <w:r w:rsidR="00F110F6">
        <w:rPr>
          <w:color w:val="000000" w:themeColor="text1"/>
        </w:rPr>
        <w:t xml:space="preserve">Kết quả tổng hợp cho thấy: </w:t>
      </w:r>
      <w:r w:rsidRPr="00AF22E2">
        <w:rPr>
          <w:color w:val="000000" w:themeColor="text1"/>
        </w:rPr>
        <w:t>Toàn ngành đã tiến hành thanh tra 2.</w:t>
      </w:r>
      <w:r w:rsidR="00083EBE" w:rsidRPr="00AF22E2">
        <w:rPr>
          <w:color w:val="000000" w:themeColor="text1"/>
        </w:rPr>
        <w:t>301</w:t>
      </w:r>
      <w:r w:rsidRPr="00AF22E2">
        <w:rPr>
          <w:color w:val="000000" w:themeColor="text1"/>
        </w:rPr>
        <w:t xml:space="preserve"> </w:t>
      </w:r>
      <w:r w:rsidR="00B2492A" w:rsidRPr="00AF22E2">
        <w:rPr>
          <w:color w:val="000000" w:themeColor="text1"/>
          <w:spacing w:val="-2"/>
        </w:rPr>
        <w:t>cơ sở</w:t>
      </w:r>
      <w:r w:rsidR="00B2492A" w:rsidRPr="00AF22E2">
        <w:rPr>
          <w:color w:val="000000" w:themeColor="text1"/>
        </w:rPr>
        <w:t xml:space="preserve"> </w:t>
      </w:r>
      <w:r w:rsidRPr="00AF22E2">
        <w:rPr>
          <w:color w:val="000000" w:themeColor="text1"/>
        </w:rPr>
        <w:t xml:space="preserve">kinh doanh </w:t>
      </w:r>
      <w:r w:rsidR="00083EBE" w:rsidRPr="00AF22E2">
        <w:rPr>
          <w:color w:val="000000" w:themeColor="text1"/>
        </w:rPr>
        <w:t>xăng dầu và 422 cơ sở sử dụng mã số mã vạch</w:t>
      </w:r>
      <w:r w:rsidRPr="00AF22E2">
        <w:rPr>
          <w:color w:val="000000" w:themeColor="text1"/>
          <w:lang w:eastAsia="vi-VN"/>
        </w:rPr>
        <w:t xml:space="preserve">. Qua thanh tra </w:t>
      </w:r>
      <w:r w:rsidRPr="00AF22E2">
        <w:rPr>
          <w:color w:val="000000" w:themeColor="text1"/>
        </w:rPr>
        <w:t>đã phát hiện và xử phạt</w:t>
      </w:r>
      <w:r w:rsidR="00E43181" w:rsidRPr="00AF22E2">
        <w:rPr>
          <w:color w:val="000000" w:themeColor="text1"/>
        </w:rPr>
        <w:t xml:space="preserve"> vi phạm hành chính đối với</w:t>
      </w:r>
      <w:r w:rsidRPr="00AF22E2">
        <w:rPr>
          <w:color w:val="000000" w:themeColor="text1"/>
        </w:rPr>
        <w:t xml:space="preserve"> </w:t>
      </w:r>
      <w:r w:rsidR="00E43181" w:rsidRPr="00AF22E2">
        <w:rPr>
          <w:color w:val="000000" w:themeColor="text1"/>
        </w:rPr>
        <w:t>149</w:t>
      </w:r>
      <w:r w:rsidRPr="00AF22E2">
        <w:rPr>
          <w:color w:val="000000" w:themeColor="text1"/>
        </w:rPr>
        <w:t xml:space="preserve"> cơ sở vi phạm (chiếm </w:t>
      </w:r>
      <w:r w:rsidR="00E43181" w:rsidRPr="00AF22E2">
        <w:rPr>
          <w:color w:val="000000" w:themeColor="text1"/>
        </w:rPr>
        <w:t>5,5</w:t>
      </w:r>
      <w:r w:rsidRPr="00AF22E2">
        <w:rPr>
          <w:color w:val="000000" w:themeColor="text1"/>
        </w:rPr>
        <w:t xml:space="preserve">% số cơ sở được thanh tra) với </w:t>
      </w:r>
      <w:r w:rsidR="00E43181" w:rsidRPr="00AF22E2">
        <w:rPr>
          <w:color w:val="000000" w:themeColor="text1"/>
          <w:spacing w:val="4"/>
        </w:rPr>
        <w:t>tổng số tiền xử phạt vi phạm hành chính là gần 6,8 tỉ đồng, số tiền truy thu là 12,3 triệu đồng</w:t>
      </w:r>
      <w:r w:rsidRPr="00AF22E2">
        <w:rPr>
          <w:color w:val="000000" w:themeColor="text1"/>
        </w:rPr>
        <w:t xml:space="preserve">. </w:t>
      </w:r>
      <w:r w:rsidR="00E43181" w:rsidRPr="00AF22E2">
        <w:rPr>
          <w:color w:val="000000" w:themeColor="text1"/>
        </w:rPr>
        <w:t>Các hành vi vi phạm chủ yếu được phát hiện qua cuộc thanh tra cụ thể như sau:</w:t>
      </w:r>
    </w:p>
    <w:p w:rsidR="00E43181" w:rsidRPr="00AF22E2" w:rsidRDefault="00E43181" w:rsidP="00E43181">
      <w:pPr>
        <w:spacing w:after="120"/>
        <w:ind w:firstLine="720"/>
        <w:jc w:val="both"/>
        <w:rPr>
          <w:color w:val="000000" w:themeColor="text1"/>
        </w:rPr>
      </w:pPr>
      <w:r w:rsidRPr="00AF22E2">
        <w:rPr>
          <w:color w:val="000000" w:themeColor="text1"/>
        </w:rPr>
        <w:t xml:space="preserve">- Đối với các cơ sở kinh doanh xăng dầu: </w:t>
      </w:r>
      <w:r w:rsidR="002B1864">
        <w:rPr>
          <w:color w:val="000000" w:themeColor="text1"/>
        </w:rPr>
        <w:t>t</w:t>
      </w:r>
      <w:r w:rsidRPr="00AF22E2">
        <w:rPr>
          <w:color w:val="000000" w:themeColor="text1"/>
        </w:rPr>
        <w:t xml:space="preserve">háo dỡ niêm phong, kẹp chì trên phương tiện đo; </w:t>
      </w:r>
      <w:r w:rsidR="002B1864">
        <w:rPr>
          <w:color w:val="000000" w:themeColor="text1"/>
        </w:rPr>
        <w:t>g</w:t>
      </w:r>
      <w:r w:rsidRPr="00AF22E2">
        <w:rPr>
          <w:color w:val="000000" w:themeColor="text1"/>
        </w:rPr>
        <w:t xml:space="preserve">iấy chứng nhận kiểm định phương tiện đo hết hiệu lực; </w:t>
      </w:r>
      <w:r w:rsidR="002B1864">
        <w:rPr>
          <w:color w:val="000000" w:themeColor="text1"/>
        </w:rPr>
        <w:t>s</w:t>
      </w:r>
      <w:r w:rsidRPr="00AF22E2">
        <w:rPr>
          <w:color w:val="000000" w:themeColor="text1"/>
        </w:rPr>
        <w:t xml:space="preserve">ử dụng phương tiện đo không đạt yêu cầu kỹ thuật về đo lường; </w:t>
      </w:r>
      <w:r w:rsidR="002B1864">
        <w:rPr>
          <w:color w:val="000000" w:themeColor="text1"/>
        </w:rPr>
        <w:t>n</w:t>
      </w:r>
      <w:r w:rsidRPr="00AF22E2">
        <w:rPr>
          <w:color w:val="000000" w:themeColor="text1"/>
        </w:rPr>
        <w:t xml:space="preserve">iêm yết giá bán lẻ xăng dầu không đúng với giá do thương nhân phân phối quy định; </w:t>
      </w:r>
      <w:r w:rsidR="002B1864">
        <w:rPr>
          <w:color w:val="000000" w:themeColor="text1"/>
        </w:rPr>
        <w:t>k</w:t>
      </w:r>
      <w:r w:rsidRPr="00AF22E2">
        <w:rPr>
          <w:color w:val="000000" w:themeColor="text1"/>
        </w:rPr>
        <w:t xml:space="preserve">inh doanh xăng dầu khi Giấy chứng nhận đủ điều kiện kinh doanh hết hiệu lực; Bán xăng có chất lượng không phù hợp quy chuẩn kỹ thuật quốc gia. </w:t>
      </w:r>
    </w:p>
    <w:p w:rsidR="00CB1C6A" w:rsidRDefault="00E43181" w:rsidP="00E43181">
      <w:pPr>
        <w:widowControl w:val="0"/>
        <w:spacing w:before="120" w:after="120"/>
        <w:ind w:firstLine="720"/>
        <w:jc w:val="both"/>
        <w:rPr>
          <w:color w:val="000000" w:themeColor="text1"/>
        </w:rPr>
      </w:pPr>
      <w:r w:rsidRPr="00AF22E2">
        <w:rPr>
          <w:color w:val="000000" w:themeColor="text1"/>
        </w:rPr>
        <w:t xml:space="preserve">- Đối với các cơ sở sử dụng </w:t>
      </w:r>
      <w:r w:rsidR="00085A4D" w:rsidRPr="00AF22E2">
        <w:rPr>
          <w:color w:val="000000" w:themeColor="text1"/>
        </w:rPr>
        <w:t>mã số mã vạch</w:t>
      </w:r>
      <w:r w:rsidRPr="00AF22E2">
        <w:rPr>
          <w:color w:val="000000" w:themeColor="text1"/>
        </w:rPr>
        <w:t xml:space="preserve">: Chưa nộp phí duy trì </w:t>
      </w:r>
      <w:r w:rsidR="002B1864" w:rsidRPr="00AF22E2">
        <w:rPr>
          <w:color w:val="000000" w:themeColor="text1"/>
        </w:rPr>
        <w:t xml:space="preserve">mã số </w:t>
      </w:r>
      <w:r w:rsidR="002B1864" w:rsidRPr="00AF22E2">
        <w:rPr>
          <w:color w:val="000000" w:themeColor="text1"/>
        </w:rPr>
        <w:lastRenderedPageBreak/>
        <w:t>mã vạch</w:t>
      </w:r>
      <w:r w:rsidRPr="00AF22E2">
        <w:rPr>
          <w:color w:val="000000" w:themeColor="text1"/>
        </w:rPr>
        <w:t>; không khai báo và cập nhật danh mục GTIN (mã số thương phẩm toàn cầu) và GLN (mã số địa điểm toàn cầu).</w:t>
      </w:r>
    </w:p>
    <w:p w:rsidR="009A7FE7" w:rsidRPr="00AF22E2" w:rsidRDefault="009A7FE7" w:rsidP="009A7FE7">
      <w:pPr>
        <w:spacing w:before="120"/>
        <w:ind w:firstLine="720"/>
        <w:jc w:val="both"/>
        <w:rPr>
          <w:color w:val="000000" w:themeColor="text1"/>
          <w:lang w:val="pl-PL"/>
        </w:rPr>
      </w:pPr>
      <w:r w:rsidRPr="00AF22E2">
        <w:rPr>
          <w:color w:val="000000" w:themeColor="text1"/>
          <w:lang w:val="pl-PL"/>
        </w:rPr>
        <w:t>Cuộc thanh tra chuyên đề đã thu hút toàn ngành Thanh tra KH&amp;CN tham gia, tạo được sức lan tỏa và sự cộng hưởng mạnh mẽ, được dư luận xã hội ủng hộ, đánh giá cao.</w:t>
      </w:r>
    </w:p>
    <w:p w:rsidR="00716C9B" w:rsidRPr="00AF22E2" w:rsidRDefault="00AF22E2" w:rsidP="00E43181">
      <w:pPr>
        <w:widowControl w:val="0"/>
        <w:spacing w:before="120" w:after="120"/>
        <w:ind w:firstLine="720"/>
        <w:jc w:val="both"/>
        <w:rPr>
          <w:color w:val="000000" w:themeColor="text1"/>
          <w:lang w:val="it-IT"/>
        </w:rPr>
      </w:pPr>
      <w:r w:rsidRPr="00AF22E2">
        <w:rPr>
          <w:color w:val="000000" w:themeColor="text1"/>
          <w:lang w:val="it-IT"/>
        </w:rPr>
        <w:t>2.2. Kết quả năm 2019</w:t>
      </w:r>
    </w:p>
    <w:p w:rsidR="00AF22E2" w:rsidRPr="00AF22E2" w:rsidRDefault="009649CE" w:rsidP="00AF22E2">
      <w:pPr>
        <w:spacing w:before="120"/>
        <w:ind w:firstLine="709"/>
        <w:jc w:val="both"/>
        <w:rPr>
          <w:color w:val="000000" w:themeColor="text1"/>
          <w:spacing w:val="-2"/>
        </w:rPr>
      </w:pPr>
      <w:r w:rsidRPr="00AF22E2">
        <w:rPr>
          <w:color w:val="000000" w:themeColor="text1"/>
          <w:lang w:val="it-IT"/>
        </w:rPr>
        <w:t>Năm 201</w:t>
      </w:r>
      <w:r w:rsidR="00E43181" w:rsidRPr="00AF22E2">
        <w:rPr>
          <w:color w:val="000000" w:themeColor="text1"/>
          <w:lang w:val="it-IT"/>
        </w:rPr>
        <w:t>9</w:t>
      </w:r>
      <w:r w:rsidRPr="00AF22E2">
        <w:rPr>
          <w:color w:val="000000" w:themeColor="text1"/>
          <w:lang w:val="it-IT"/>
        </w:rPr>
        <w:t xml:space="preserve">, </w:t>
      </w:r>
      <w:r w:rsidR="00C6237A" w:rsidRPr="00AF22E2">
        <w:rPr>
          <w:color w:val="000000" w:themeColor="text1"/>
          <w:lang w:val="it-IT"/>
        </w:rPr>
        <w:t>Thanh tra</w:t>
      </w:r>
      <w:r w:rsidR="00E0360F" w:rsidRPr="00AF22E2">
        <w:rPr>
          <w:color w:val="000000" w:themeColor="text1"/>
          <w:lang w:val="it-IT"/>
        </w:rPr>
        <w:t xml:space="preserve"> KH&amp;CN đ</w:t>
      </w:r>
      <w:r w:rsidR="00E0360F" w:rsidRPr="00AF22E2">
        <w:rPr>
          <w:color w:val="000000" w:themeColor="text1"/>
          <w:spacing w:val="-6"/>
        </w:rPr>
        <w:t xml:space="preserve">ã tiến hành thanh tra </w:t>
      </w:r>
      <w:r w:rsidR="00170A85" w:rsidRPr="00AF22E2">
        <w:rPr>
          <w:color w:val="000000"/>
        </w:rPr>
        <w:t>4.</w:t>
      </w:r>
      <w:r w:rsidR="00DD58A4" w:rsidRPr="00AF22E2">
        <w:rPr>
          <w:color w:val="000000" w:themeColor="text1"/>
        </w:rPr>
        <w:t>091</w:t>
      </w:r>
      <w:r w:rsidR="00170A85" w:rsidRPr="00AF22E2">
        <w:rPr>
          <w:color w:val="000000"/>
        </w:rPr>
        <w:t xml:space="preserve"> </w:t>
      </w:r>
      <w:r w:rsidR="00E0360F" w:rsidRPr="00AF22E2">
        <w:rPr>
          <w:color w:val="000000" w:themeColor="text1"/>
          <w:spacing w:val="-6"/>
        </w:rPr>
        <w:t>cơ sở</w:t>
      </w:r>
      <w:r w:rsidR="009568A5" w:rsidRPr="00AF22E2">
        <w:rPr>
          <w:color w:val="000000" w:themeColor="text1"/>
          <w:spacing w:val="-6"/>
        </w:rPr>
        <w:t xml:space="preserve"> sản xuất, nhập khẩu, kinh doanh</w:t>
      </w:r>
      <w:r w:rsidR="00E0360F" w:rsidRPr="00AF22E2">
        <w:rPr>
          <w:color w:val="000000" w:themeColor="text1"/>
          <w:spacing w:val="-6"/>
        </w:rPr>
        <w:t xml:space="preserve"> </w:t>
      </w:r>
      <w:r w:rsidR="009568A5" w:rsidRPr="00AF22E2">
        <w:rPr>
          <w:color w:val="000000" w:themeColor="text1"/>
        </w:rPr>
        <w:t xml:space="preserve">xăng dầu, khí dầu mỏ hóa lỏng, thức ăn chăn nuôi, hàng đóng gói sẵn, vàng, bạc, mũ bảo hiểm, đồ chơi trẻ em, sử dụng mã số mã vạch… </w:t>
      </w:r>
      <w:r w:rsidR="00E0360F" w:rsidRPr="00AF22E2">
        <w:rPr>
          <w:color w:val="000000" w:themeColor="text1"/>
          <w:spacing w:val="-6"/>
        </w:rPr>
        <w:t xml:space="preserve">về chấp hành các quy định của pháp luật trong lĩnh vực </w:t>
      </w:r>
      <w:r w:rsidR="009568A5" w:rsidRPr="00AF22E2">
        <w:rPr>
          <w:color w:val="000000" w:themeColor="text1"/>
          <w:spacing w:val="-6"/>
        </w:rPr>
        <w:t>tiêu chuẩn, đo lường, chất lượng</w:t>
      </w:r>
      <w:r w:rsidR="00E0360F" w:rsidRPr="00AF22E2">
        <w:rPr>
          <w:color w:val="000000" w:themeColor="text1"/>
          <w:spacing w:val="-6"/>
        </w:rPr>
        <w:t xml:space="preserve">. Qua thanh tra đã phát hiện </w:t>
      </w:r>
      <w:r w:rsidR="00DD58A4" w:rsidRPr="00AF22E2">
        <w:rPr>
          <w:color w:val="000000"/>
        </w:rPr>
        <w:t>338</w:t>
      </w:r>
      <w:r w:rsidR="00DD58A4" w:rsidRPr="00AF22E2">
        <w:rPr>
          <w:color w:val="000000" w:themeColor="text1"/>
        </w:rPr>
        <w:t xml:space="preserve"> </w:t>
      </w:r>
      <w:r w:rsidR="00E0360F" w:rsidRPr="00AF22E2">
        <w:rPr>
          <w:color w:val="000000" w:themeColor="text1"/>
          <w:spacing w:val="-6"/>
        </w:rPr>
        <w:t>cơ sở vi phạm, xử phạt vi phạm hành ch</w:t>
      </w:r>
      <w:r w:rsidR="00DD58A4" w:rsidRPr="00AF22E2">
        <w:rPr>
          <w:color w:val="000000" w:themeColor="text1"/>
          <w:spacing w:val="-6"/>
        </w:rPr>
        <w:t xml:space="preserve">ính </w:t>
      </w:r>
      <w:r w:rsidR="00E0360F" w:rsidRPr="00AF22E2">
        <w:rPr>
          <w:color w:val="000000" w:themeColor="text1"/>
          <w:spacing w:val="-6"/>
        </w:rPr>
        <w:t xml:space="preserve">với số tiền phạt trên </w:t>
      </w:r>
      <w:r w:rsidR="00DD58A4" w:rsidRPr="00AF22E2">
        <w:rPr>
          <w:color w:val="000000"/>
        </w:rPr>
        <w:t xml:space="preserve">4,335 </w:t>
      </w:r>
      <w:r w:rsidR="00E0360F" w:rsidRPr="00AF22E2">
        <w:rPr>
          <w:color w:val="000000" w:themeColor="text1"/>
          <w:spacing w:val="-6"/>
        </w:rPr>
        <w:t xml:space="preserve">tỷ đồng, thu hồi </w:t>
      </w:r>
      <w:r w:rsidR="00DD58A4" w:rsidRPr="00AF22E2">
        <w:rPr>
          <w:color w:val="000000"/>
        </w:rPr>
        <w:t>69,9</w:t>
      </w:r>
      <w:r w:rsidR="00E0360F" w:rsidRPr="00AF22E2">
        <w:rPr>
          <w:color w:val="000000" w:themeColor="text1"/>
          <w:spacing w:val="-6"/>
        </w:rPr>
        <w:t xml:space="preserve"> triệu đồng số tiền thu lợi bất hợp pháp</w:t>
      </w:r>
      <w:r w:rsidR="00AF22E2" w:rsidRPr="00AF22E2">
        <w:rPr>
          <w:color w:val="000000" w:themeColor="text1"/>
          <w:spacing w:val="-6"/>
        </w:rPr>
        <w:t xml:space="preserve">. </w:t>
      </w:r>
      <w:r w:rsidR="00AF22E2" w:rsidRPr="00AF22E2">
        <w:rPr>
          <w:color w:val="000000" w:themeColor="text1"/>
          <w:spacing w:val="-2"/>
        </w:rPr>
        <w:t>Ngoài áp dụng hình thức xử phạt chính bằng tiền, cơ quan thanh tra đã áp dụng hình thức xử phạt bổ sung, biện pháp khắc phục hậu quả đối với các cơ sở vi phạm như: Buộc thu hồi hàng hóa vi phạm về ghi nhãn trả lại cho nhà sản xuất; buộc tiêu hủy hàng hóa quá hạn sử dụng; buộc thu hồi và tái chế đối với hàng hóa có chất lượng không phù hợp với quy chuẩn kỹ thuật; buộc định lượng lại hàng hóa trước lúc đưa vào lưu thông…</w:t>
      </w:r>
    </w:p>
    <w:p w:rsidR="00AF22E2" w:rsidRPr="00AF22E2" w:rsidRDefault="00AF22E2" w:rsidP="00E0360F">
      <w:pPr>
        <w:spacing w:before="120"/>
        <w:ind w:firstLine="720"/>
        <w:jc w:val="both"/>
        <w:rPr>
          <w:color w:val="000000" w:themeColor="text1"/>
          <w:spacing w:val="-6"/>
        </w:rPr>
      </w:pPr>
      <w:r w:rsidRPr="00AF22E2">
        <w:rPr>
          <w:color w:val="000000" w:themeColor="text1"/>
        </w:rPr>
        <w:t>C</w:t>
      </w:r>
      <w:r w:rsidRPr="00AF22E2">
        <w:rPr>
          <w:color w:val="000000"/>
        </w:rPr>
        <w:t>ác hành vi vi phạm chủ yếu</w:t>
      </w:r>
      <w:r w:rsidRPr="00AF22E2">
        <w:rPr>
          <w:color w:val="000000" w:themeColor="text1"/>
        </w:rPr>
        <w:t xml:space="preserve"> được phát hiện qua công tác thanh tra</w:t>
      </w:r>
      <w:r w:rsidRPr="00AF22E2">
        <w:rPr>
          <w:color w:val="000000"/>
        </w:rPr>
        <w:t xml:space="preserve"> như: </w:t>
      </w:r>
      <w:r w:rsidR="00910DB2">
        <w:rPr>
          <w:color w:val="000000"/>
        </w:rPr>
        <w:t>h</w:t>
      </w:r>
      <w:r w:rsidRPr="00AF22E2">
        <w:rPr>
          <w:color w:val="000000"/>
        </w:rPr>
        <w:t xml:space="preserve">àng hóa không có nhãn; </w:t>
      </w:r>
      <w:r w:rsidR="00910DB2">
        <w:rPr>
          <w:color w:val="000000"/>
        </w:rPr>
        <w:t>h</w:t>
      </w:r>
      <w:r w:rsidRPr="00AF22E2">
        <w:rPr>
          <w:color w:val="000000"/>
        </w:rPr>
        <w:t xml:space="preserve">àng hóa có nhãn nhưng không ghi đủ các nội dung bắt buộc phải thể hiện trên nhãn theo quy định; </w:t>
      </w:r>
      <w:r w:rsidR="00910DB2">
        <w:rPr>
          <w:color w:val="000000"/>
        </w:rPr>
        <w:t>c</w:t>
      </w:r>
      <w:r w:rsidRPr="00AF22E2">
        <w:rPr>
          <w:color w:val="000000"/>
        </w:rPr>
        <w:t xml:space="preserve">hứng chỉ kiểm định hết hiệu lực; </w:t>
      </w:r>
      <w:r w:rsidR="00910DB2">
        <w:rPr>
          <w:color w:val="000000"/>
        </w:rPr>
        <w:t>c</w:t>
      </w:r>
      <w:r w:rsidRPr="00AF22E2">
        <w:rPr>
          <w:color w:val="000000"/>
        </w:rPr>
        <w:t xml:space="preserve">hì niêm phong cột đo xăng bị đứt; </w:t>
      </w:r>
      <w:r w:rsidR="00910DB2">
        <w:rPr>
          <w:color w:val="000000"/>
        </w:rPr>
        <w:t>k</w:t>
      </w:r>
      <w:r w:rsidRPr="00AF22E2">
        <w:rPr>
          <w:color w:val="000000"/>
        </w:rPr>
        <w:t>inh doanh hàng hóa không có dấu hợp quy CR gắn trên sản phẩm</w:t>
      </w:r>
      <w:r w:rsidRPr="00AF22E2">
        <w:rPr>
          <w:color w:val="000000" w:themeColor="text1"/>
        </w:rPr>
        <w:t>…</w:t>
      </w:r>
    </w:p>
    <w:p w:rsidR="00AF22E2" w:rsidRPr="00AF22E2" w:rsidRDefault="00AF22E2" w:rsidP="00AF22E2">
      <w:pPr>
        <w:spacing w:before="120" w:after="120"/>
        <w:ind w:firstLine="720"/>
        <w:jc w:val="both"/>
        <w:rPr>
          <w:color w:val="000000"/>
          <w:spacing w:val="4"/>
        </w:rPr>
      </w:pPr>
      <w:r w:rsidRPr="00AF22E2">
        <w:rPr>
          <w:bCs/>
          <w:color w:val="000000" w:themeColor="text1"/>
        </w:rPr>
        <w:t xml:space="preserve"> Năm 2019</w:t>
      </w:r>
      <w:r w:rsidR="00CC2D42" w:rsidRPr="00AF22E2">
        <w:rPr>
          <w:bCs/>
          <w:color w:val="000000" w:themeColor="text1"/>
        </w:rPr>
        <w:t>,</w:t>
      </w:r>
      <w:r w:rsidR="00E0360F" w:rsidRPr="00AF22E2">
        <w:rPr>
          <w:bCs/>
          <w:color w:val="000000" w:themeColor="text1"/>
        </w:rPr>
        <w:t xml:space="preserve"> </w:t>
      </w:r>
      <w:r w:rsidR="00CC2D42" w:rsidRPr="00AF22E2">
        <w:rPr>
          <w:bCs/>
          <w:color w:val="000000" w:themeColor="text1"/>
        </w:rPr>
        <w:t xml:space="preserve">Bộ </w:t>
      </w:r>
      <w:r w:rsidR="00E0360F" w:rsidRPr="00AF22E2">
        <w:rPr>
          <w:bCs/>
          <w:color w:val="000000" w:themeColor="text1"/>
        </w:rPr>
        <w:t>KH&amp;CN triển khai Cuộc thanh tra chuyên đề diện rộng trên toàn quốc với nội dung</w:t>
      </w:r>
      <w:r w:rsidR="00910DB2">
        <w:rPr>
          <w:bCs/>
          <w:color w:val="000000" w:themeColor="text1"/>
        </w:rPr>
        <w:t>:</w:t>
      </w:r>
      <w:r w:rsidR="00E0360F" w:rsidRPr="00AF22E2">
        <w:rPr>
          <w:bCs/>
          <w:color w:val="000000" w:themeColor="text1"/>
        </w:rPr>
        <w:t xml:space="preserve"> </w:t>
      </w:r>
      <w:r w:rsidRPr="00AF22E2">
        <w:rPr>
          <w:color w:val="000000"/>
          <w:lang w:val="nl-NL"/>
        </w:rPr>
        <w:t>“</w:t>
      </w:r>
      <w:r w:rsidRPr="00AF22E2">
        <w:rPr>
          <w:i/>
          <w:color w:val="000000"/>
          <w:lang w:eastAsia="vi-VN"/>
        </w:rPr>
        <w:t xml:space="preserve">Thanh tra việc chấp hành các quy định của pháp luật </w:t>
      </w:r>
      <w:r w:rsidRPr="00AF22E2">
        <w:rPr>
          <w:i/>
          <w:color w:val="000000"/>
        </w:rPr>
        <w:t>về tiêu chuẩn, đo lường, chất lượng, nhãn hàng hóa và mã số mã vạch trong kinh doanh thiết bị điện, điện tử”</w:t>
      </w:r>
      <w:r w:rsidR="00E0360F" w:rsidRPr="00AF22E2">
        <w:rPr>
          <w:color w:val="000000" w:themeColor="text1"/>
        </w:rPr>
        <w:t xml:space="preserve">. </w:t>
      </w:r>
      <w:r w:rsidRPr="00AF22E2">
        <w:rPr>
          <w:color w:val="000000"/>
          <w:spacing w:val="4"/>
        </w:rPr>
        <w:t>Qua Cuộc thanh tra chuyên đề năm 2019, tổng số cơ sở sản xuất, kinh doanh được thanh tra là 1.514 cơ sở.</w:t>
      </w:r>
      <w:r w:rsidRPr="00AF22E2">
        <w:rPr>
          <w:color w:val="000000" w:themeColor="text1"/>
          <w:spacing w:val="4"/>
        </w:rPr>
        <w:t xml:space="preserve"> </w:t>
      </w:r>
      <w:r w:rsidRPr="00AF22E2">
        <w:rPr>
          <w:color w:val="000000"/>
          <w:spacing w:val="4"/>
        </w:rPr>
        <w:t>Tổng số cơ sở phát hiện được hành vi vi phạm và bị xử phạt vi phạm hành chính là 130 cơ sở (chiếm tỷ lệ 9% số cơ sở được thanh tra) với tổng số tiền phạt là gần 400 triệu đồng.</w:t>
      </w:r>
    </w:p>
    <w:p w:rsidR="00AF22E2" w:rsidRPr="00AF22E2" w:rsidRDefault="00AF22E2" w:rsidP="00AF22E2">
      <w:pPr>
        <w:spacing w:before="120" w:after="120"/>
        <w:ind w:firstLine="720"/>
        <w:jc w:val="both"/>
        <w:rPr>
          <w:color w:val="000000"/>
        </w:rPr>
      </w:pPr>
      <w:r w:rsidRPr="00AF22E2">
        <w:rPr>
          <w:color w:val="000000"/>
        </w:rPr>
        <w:t>- Số lượt hành vi vi phạm về nhãn hàng hóa là 36 lượt, chiếm 25% tổng số lượt hành vi vi phạm.</w:t>
      </w:r>
    </w:p>
    <w:p w:rsidR="00AF22E2" w:rsidRPr="00910DB2" w:rsidRDefault="00AF22E2" w:rsidP="00AF22E2">
      <w:pPr>
        <w:spacing w:before="120" w:after="120"/>
        <w:ind w:firstLine="720"/>
        <w:jc w:val="both"/>
        <w:rPr>
          <w:iCs/>
          <w:color w:val="000000"/>
        </w:rPr>
      </w:pPr>
      <w:r w:rsidRPr="00AF22E2">
        <w:rPr>
          <w:color w:val="000000"/>
        </w:rPr>
        <w:t xml:space="preserve">- Số lượt hành vi vi phạm quy định về đo lường là 01 lượt </w:t>
      </w:r>
      <w:r w:rsidRPr="00910DB2">
        <w:rPr>
          <w:iCs/>
          <w:color w:val="000000"/>
        </w:rPr>
        <w:t>(cụ thể: hành vi sử dụng phương tiện đo nhóm 2 (phương tiện đo điện trở cách điện) không có chứng chỉ kiểm đinh (tem kiểm định, giấy chứng nhận) theo quy định).</w:t>
      </w:r>
    </w:p>
    <w:p w:rsidR="00AF22E2" w:rsidRPr="00AF22E2" w:rsidRDefault="00AF22E2" w:rsidP="00AF22E2">
      <w:pPr>
        <w:spacing w:before="120" w:after="120"/>
        <w:ind w:firstLine="720"/>
        <w:jc w:val="both"/>
        <w:rPr>
          <w:color w:val="000000"/>
        </w:rPr>
      </w:pPr>
      <w:r w:rsidRPr="00AF22E2">
        <w:rPr>
          <w:color w:val="000000"/>
        </w:rPr>
        <w:t>- Số lượt hành vi vi phạm không đạt chất lượng là 28 lượt, chiếm 19% tổng số lượt hành vi vi phạm.</w:t>
      </w:r>
    </w:p>
    <w:p w:rsidR="00AF22E2" w:rsidRPr="00AF22E2" w:rsidRDefault="00AF22E2" w:rsidP="00AF22E2">
      <w:pPr>
        <w:spacing w:before="120" w:after="120"/>
        <w:ind w:firstLine="720"/>
        <w:jc w:val="both"/>
        <w:rPr>
          <w:color w:val="000000"/>
        </w:rPr>
      </w:pPr>
      <w:r w:rsidRPr="00AF22E2">
        <w:rPr>
          <w:color w:val="000000"/>
        </w:rPr>
        <w:lastRenderedPageBreak/>
        <w:t>- Số lượt hành vi vi phạm về dấu hợp quy là 76 lượt (</w:t>
      </w:r>
      <w:r w:rsidR="006E07AA">
        <w:rPr>
          <w:color w:val="000000"/>
        </w:rPr>
        <w:t>b</w:t>
      </w:r>
      <w:r w:rsidRPr="00AF22E2">
        <w:rPr>
          <w:color w:val="000000"/>
        </w:rPr>
        <w:t>án hàng hóa phải có dấu hợp quy nhưng không có dấu hợp quy, không thực hiện công bố hợp quy) chiếm 52% tổng số lượt hành vi vi phạm.</w:t>
      </w:r>
    </w:p>
    <w:p w:rsidR="00AF22E2" w:rsidRPr="00AF22E2" w:rsidRDefault="00AF22E2" w:rsidP="00AF22E2">
      <w:pPr>
        <w:spacing w:before="120" w:after="120"/>
        <w:ind w:firstLine="720"/>
        <w:jc w:val="both"/>
        <w:rPr>
          <w:color w:val="000000"/>
        </w:rPr>
      </w:pPr>
      <w:r w:rsidRPr="00AF22E2">
        <w:rPr>
          <w:color w:val="000000"/>
        </w:rPr>
        <w:t>- Số lượt hành vi vi phạm về mã số mã vạch là 3 lượt, chiếm 2% tổng số lượt hành vi vi phạm.</w:t>
      </w:r>
    </w:p>
    <w:p w:rsidR="00AF22E2" w:rsidRPr="00AF22E2" w:rsidRDefault="00AF22E2" w:rsidP="00AF22E2">
      <w:pPr>
        <w:spacing w:before="120" w:after="120"/>
        <w:ind w:firstLine="720"/>
        <w:jc w:val="both"/>
        <w:rPr>
          <w:color w:val="000000"/>
        </w:rPr>
      </w:pPr>
      <w:r w:rsidRPr="00AF22E2">
        <w:rPr>
          <w:color w:val="000000"/>
        </w:rPr>
        <w:t>- Số lượt hành vi vi phạm khác là 3 lượt, chiếm 2% tổng số lượt hành vi vi phạm (</w:t>
      </w:r>
      <w:r w:rsidRPr="00D87AE6">
        <w:rPr>
          <w:iCs/>
          <w:color w:val="000000"/>
        </w:rPr>
        <w:t>bán hàng hóa không có hóa đơn, chứng từ theo quy định</w:t>
      </w:r>
      <w:r w:rsidRPr="00AF22E2">
        <w:rPr>
          <w:color w:val="000000"/>
        </w:rPr>
        <w:t>).</w:t>
      </w:r>
    </w:p>
    <w:p w:rsidR="00AF22E2" w:rsidRPr="00AF22E2" w:rsidRDefault="00AF22E2" w:rsidP="00AF22E2">
      <w:pPr>
        <w:spacing w:before="120" w:after="120"/>
        <w:ind w:firstLine="720"/>
        <w:jc w:val="both"/>
        <w:rPr>
          <w:color w:val="000000" w:themeColor="text1"/>
          <w:spacing w:val="-4"/>
        </w:rPr>
      </w:pPr>
      <w:r w:rsidRPr="00AF22E2">
        <w:rPr>
          <w:color w:val="000000"/>
          <w:spacing w:val="-4"/>
        </w:rPr>
        <w:t>Qua kết quả tổng hợp cho thấy hành vi vi phạm phổ biến phát hiện được qua Cuộc thanh tra chuyên đề năm 2019 là hành vi vi phạm quy định về dấu hợp quy (chiếm 52% số lượt hành vi vi phạm); tiếp đến là vi phạm về nhãn hàng hóa (chiếm 25% số lượt hành vi vi phạm). Đáng chú ý là, mặc dù cuộc thanh tra cũng đã được thông tin rộng rãi trên các phương tiện thông tin đại chúng, nhưng số lượt hành vi vi phạm không đạt chất lượng cũng chiếm đến 19%.</w:t>
      </w:r>
    </w:p>
    <w:p w:rsidR="00AF22E2" w:rsidRPr="00AF22E2" w:rsidRDefault="00AF22E2" w:rsidP="00AF22E2">
      <w:pPr>
        <w:spacing w:before="120" w:after="120"/>
        <w:ind w:firstLine="720"/>
        <w:jc w:val="both"/>
        <w:rPr>
          <w:color w:val="000000" w:themeColor="text1"/>
        </w:rPr>
      </w:pPr>
      <w:r w:rsidRPr="00AF22E2">
        <w:rPr>
          <w:color w:val="000000" w:themeColor="text1"/>
        </w:rPr>
        <w:t>2.3. Kết quả 6 tháng đầu năm 2020</w:t>
      </w:r>
    </w:p>
    <w:p w:rsidR="00884790" w:rsidRPr="00AF22E2" w:rsidRDefault="00E43181" w:rsidP="009914A8">
      <w:pPr>
        <w:spacing w:before="120" w:after="120"/>
        <w:ind w:firstLine="720"/>
        <w:jc w:val="both"/>
        <w:rPr>
          <w:color w:val="000000" w:themeColor="text1"/>
          <w:spacing w:val="-4"/>
        </w:rPr>
      </w:pPr>
      <w:r w:rsidRPr="00AF22E2">
        <w:rPr>
          <w:color w:val="000000" w:themeColor="text1"/>
        </w:rPr>
        <w:t>6 tháng đầu năm 2020</w:t>
      </w:r>
      <w:r w:rsidR="00884790" w:rsidRPr="00AF22E2">
        <w:rPr>
          <w:color w:val="000000" w:themeColor="text1"/>
        </w:rPr>
        <w:t xml:space="preserve">, </w:t>
      </w:r>
      <w:r w:rsidR="001655B9" w:rsidRPr="00AF22E2">
        <w:rPr>
          <w:color w:val="000000" w:themeColor="text1"/>
        </w:rPr>
        <w:t>Thanh tra ngành KH&amp;CN đ</w:t>
      </w:r>
      <w:r w:rsidR="00884790" w:rsidRPr="00AF22E2">
        <w:rPr>
          <w:color w:val="000000" w:themeColor="text1"/>
        </w:rPr>
        <w:t xml:space="preserve">ã tiến hành thanh tra </w:t>
      </w:r>
      <w:r w:rsidR="007040AB" w:rsidRPr="00AF22E2">
        <w:rPr>
          <w:color w:val="000000" w:themeColor="text1"/>
        </w:rPr>
        <w:t xml:space="preserve">1.831 </w:t>
      </w:r>
      <w:r w:rsidR="00350EC6" w:rsidRPr="00AF22E2">
        <w:rPr>
          <w:color w:val="000000" w:themeColor="text1"/>
          <w:spacing w:val="-2"/>
        </w:rPr>
        <w:t>cơ sở</w:t>
      </w:r>
      <w:r w:rsidR="00884790" w:rsidRPr="00AF22E2">
        <w:rPr>
          <w:color w:val="000000" w:themeColor="text1"/>
        </w:rPr>
        <w:t xml:space="preserve">, qua thanh tra phát hiện vi phạm và xử phạt vi phạm hành chính </w:t>
      </w:r>
      <w:r w:rsidR="00AE12C9" w:rsidRPr="00AF22E2">
        <w:rPr>
          <w:color w:val="000000" w:themeColor="text1"/>
        </w:rPr>
        <w:t>148</w:t>
      </w:r>
      <w:r w:rsidR="00884790" w:rsidRPr="00AF22E2">
        <w:rPr>
          <w:color w:val="000000" w:themeColor="text1"/>
        </w:rPr>
        <w:t xml:space="preserve"> </w:t>
      </w:r>
      <w:r w:rsidR="00350EC6" w:rsidRPr="00AF22E2">
        <w:rPr>
          <w:color w:val="000000" w:themeColor="text1"/>
          <w:spacing w:val="-2"/>
        </w:rPr>
        <w:t>cơ sở</w:t>
      </w:r>
      <w:r w:rsidR="00AE12C9" w:rsidRPr="00AF22E2">
        <w:rPr>
          <w:color w:val="000000" w:themeColor="text1"/>
        </w:rPr>
        <w:t xml:space="preserve"> </w:t>
      </w:r>
      <w:r w:rsidR="00884790" w:rsidRPr="00AF22E2">
        <w:rPr>
          <w:color w:val="000000" w:themeColor="text1"/>
        </w:rPr>
        <w:t xml:space="preserve">với số tiền xử phạt trên </w:t>
      </w:r>
      <w:r w:rsidR="00AE12C9" w:rsidRPr="00AF22E2">
        <w:rPr>
          <w:color w:val="000000" w:themeColor="text1"/>
        </w:rPr>
        <w:t xml:space="preserve">1,958 </w:t>
      </w:r>
      <w:r w:rsidR="00884790" w:rsidRPr="00AF22E2">
        <w:rPr>
          <w:color w:val="000000" w:themeColor="text1"/>
        </w:rPr>
        <w:t>tỷ đồng</w:t>
      </w:r>
      <w:r w:rsidR="00AE12C9" w:rsidRPr="00AF22E2">
        <w:rPr>
          <w:color w:val="000000" w:themeColor="text1"/>
        </w:rPr>
        <w:t>, kiến nghị thu hồi 3,7 triệu đồng</w:t>
      </w:r>
      <w:r w:rsidR="00884790" w:rsidRPr="00AF22E2">
        <w:rPr>
          <w:color w:val="000000" w:themeColor="text1"/>
        </w:rPr>
        <w:t xml:space="preserve">; tịch thu, tiêu hủy </w:t>
      </w:r>
      <w:r w:rsidR="00716C9B" w:rsidRPr="00AF22E2">
        <w:rPr>
          <w:color w:val="000000" w:themeColor="text1"/>
        </w:rPr>
        <w:t xml:space="preserve">các </w:t>
      </w:r>
      <w:r w:rsidR="00884790" w:rsidRPr="00AF22E2">
        <w:rPr>
          <w:color w:val="000000" w:themeColor="text1"/>
        </w:rPr>
        <w:t>lô hàng vi phạm các loại</w:t>
      </w:r>
      <w:r w:rsidR="00716C9B" w:rsidRPr="00AF22E2">
        <w:rPr>
          <w:color w:val="000000" w:themeColor="text1"/>
        </w:rPr>
        <w:t>. Bên cạnh đó, các Đoàn thanh tra đã ban hành các biện pháp khắc phục hậu quả như</w:t>
      </w:r>
      <w:r w:rsidR="00C25620" w:rsidRPr="00AF22E2">
        <w:rPr>
          <w:color w:val="000000" w:themeColor="text1"/>
        </w:rPr>
        <w:t xml:space="preserve">: </w:t>
      </w:r>
      <w:r w:rsidR="003A4D5D">
        <w:rPr>
          <w:color w:val="000000" w:themeColor="text1"/>
        </w:rPr>
        <w:t>t</w:t>
      </w:r>
      <w:r w:rsidR="00C25620" w:rsidRPr="00AF22E2">
        <w:rPr>
          <w:color w:val="000000" w:themeColor="text1"/>
        </w:rPr>
        <w:t>ước quyền sử dụng giấy chứng nhận đủ điều kiện kinh doanh xăng dầu có thời hạn, t</w:t>
      </w:r>
      <w:r w:rsidR="00716C9B" w:rsidRPr="00AF22E2">
        <w:rPr>
          <w:color w:val="000000" w:themeColor="text1"/>
          <w:shd w:val="clear" w:color="auto" w:fill="FFFFFF"/>
        </w:rPr>
        <w:t>ước quyền sử dụng</w:t>
      </w:r>
      <w:r w:rsidR="00716C9B" w:rsidRPr="00AF22E2">
        <w:rPr>
          <w:color w:val="000000" w:themeColor="text1"/>
        </w:rPr>
        <w:t xml:space="preserve"> Giấy chứng nhận đăng ký hoạt động giám định; </w:t>
      </w:r>
      <w:r w:rsidR="00716C9B" w:rsidRPr="00AF22E2">
        <w:rPr>
          <w:color w:val="000000" w:themeColor="text1"/>
          <w:spacing w:val="-4"/>
        </w:rPr>
        <w:t xml:space="preserve">buộc thu hồi giấy chứng nhận hiệu chuẩn đã cấp cho khách hàng. </w:t>
      </w:r>
      <w:r w:rsidR="00716C9B" w:rsidRPr="00AF22E2">
        <w:rPr>
          <w:color w:val="000000" w:themeColor="text1"/>
        </w:rPr>
        <w:t>Các hành vi vi phạm bị phát hiện qua công tác thanh tra chủ yếu như:</w:t>
      </w:r>
      <w:r w:rsidR="00716C9B" w:rsidRPr="00AF22E2">
        <w:rPr>
          <w:color w:val="000000" w:themeColor="text1"/>
          <w:lang w:val="it-IT"/>
        </w:rPr>
        <w:t xml:space="preserve"> </w:t>
      </w:r>
      <w:r w:rsidR="00C25620" w:rsidRPr="00AF22E2">
        <w:rPr>
          <w:color w:val="000000" w:themeColor="text1"/>
          <w:lang w:val="vi-VN"/>
        </w:rPr>
        <w:t>kinh doanh xăng có chất lượng xăng không phù hợp quy chuẩn kỹ thuật</w:t>
      </w:r>
      <w:r w:rsidR="00C25620" w:rsidRPr="00AF22E2">
        <w:rPr>
          <w:color w:val="000000" w:themeColor="text1"/>
        </w:rPr>
        <w:t xml:space="preserve">; sử dụng phương tiện đo trong kinh doanh xăng dầu có chứng chỉ kiểm định đã hết hiệu lực; </w:t>
      </w:r>
      <w:r w:rsidR="003A4D5D">
        <w:rPr>
          <w:color w:val="000000" w:themeColor="text1"/>
        </w:rPr>
        <w:t>s</w:t>
      </w:r>
      <w:r w:rsidR="00C25620" w:rsidRPr="00AF22E2">
        <w:rPr>
          <w:color w:val="000000" w:themeColor="text1"/>
        </w:rPr>
        <w:t xml:space="preserve">ử dụng phương tiện đo không đạt yêu cầu quy định về kỹ thuật đo lường; </w:t>
      </w:r>
      <w:r w:rsidR="003A4D5D">
        <w:rPr>
          <w:color w:val="000000" w:themeColor="text1"/>
        </w:rPr>
        <w:t>s</w:t>
      </w:r>
      <w:r w:rsidR="00C25620" w:rsidRPr="00AF22E2">
        <w:rPr>
          <w:color w:val="000000" w:themeColor="text1"/>
        </w:rPr>
        <w:t xml:space="preserve">ử dụng phương tiện đo đã bị tháo dỡ </w:t>
      </w:r>
      <w:r w:rsidR="000F42FB">
        <w:rPr>
          <w:color w:val="000000" w:themeColor="text1"/>
        </w:rPr>
        <w:t>n</w:t>
      </w:r>
      <w:r w:rsidR="00C25620" w:rsidRPr="00AF22E2">
        <w:rPr>
          <w:color w:val="000000" w:themeColor="text1"/>
        </w:rPr>
        <w:t>iêm phong, kẹp chì, chứng chỉ kiểm định</w:t>
      </w:r>
      <w:r w:rsidR="00716C9B" w:rsidRPr="00AF22E2">
        <w:rPr>
          <w:color w:val="000000" w:themeColor="text1"/>
        </w:rPr>
        <w:t xml:space="preserve">; </w:t>
      </w:r>
      <w:r w:rsidR="00716C9B" w:rsidRPr="00AF22E2">
        <w:rPr>
          <w:color w:val="000000" w:themeColor="text1"/>
          <w:spacing w:val="-4"/>
        </w:rPr>
        <w:t>cung cấp dịch vụ hiệu chuẩn khi chưa được cấp giấy chứng nhận đăng ký cung cấp dịch vụ phương tiện đo theo quy định</w:t>
      </w:r>
      <w:r w:rsidR="00C25620" w:rsidRPr="00AF22E2">
        <w:rPr>
          <w:color w:val="000000" w:themeColor="text1"/>
          <w:spacing w:val="-4"/>
        </w:rPr>
        <w:t xml:space="preserve">; </w:t>
      </w:r>
      <w:r w:rsidR="00C25620" w:rsidRPr="00AF22E2">
        <w:rPr>
          <w:color w:val="000000" w:themeColor="text1"/>
        </w:rPr>
        <w:t>không đạt về đo lường hàng đóng gói</w:t>
      </w:r>
      <w:r w:rsidR="000F42FB">
        <w:rPr>
          <w:color w:val="000000" w:themeColor="text1"/>
        </w:rPr>
        <w:t xml:space="preserve"> </w:t>
      </w:r>
      <w:r w:rsidR="00C25620" w:rsidRPr="00AF22E2">
        <w:rPr>
          <w:color w:val="000000" w:themeColor="text1"/>
        </w:rPr>
        <w:t>sẵn, phương tiện đo hết hiệu lực kiểm định, chất lượng không đạt theo tiêu chuẩn, quy chuẩn kỹ thuật áp dụng, không có dấu hợp quy, hoàng hóa không rõ nguồn gốc xuất xứ</w:t>
      </w:r>
      <w:r w:rsidR="000F42FB">
        <w:rPr>
          <w:color w:val="000000" w:themeColor="text1"/>
        </w:rPr>
        <w:t>.</w:t>
      </w:r>
    </w:p>
    <w:p w:rsidR="00716C9B" w:rsidRPr="00470C8D" w:rsidRDefault="00716C9B" w:rsidP="001655B9">
      <w:pPr>
        <w:spacing w:before="120" w:after="120"/>
        <w:ind w:firstLine="720"/>
        <w:jc w:val="both"/>
        <w:rPr>
          <w:color w:val="FF0000"/>
        </w:rPr>
      </w:pPr>
      <w:r w:rsidRPr="00AF22E2">
        <w:rPr>
          <w:color w:val="000000" w:themeColor="text1"/>
          <w:spacing w:val="-4"/>
        </w:rPr>
        <w:t>Năm 2020, do ảnh hưởng của dịch bệnh Cov</w:t>
      </w:r>
      <w:r>
        <w:rPr>
          <w:spacing w:val="-4"/>
        </w:rPr>
        <w:t>id-19, Bộ KH&amp;CN không triển khai thanh tra chuyên đề diện rộng toàn quốc.</w:t>
      </w:r>
    </w:p>
    <w:p w:rsidR="006D5EE0" w:rsidRPr="00FC352E" w:rsidRDefault="006D5EE0" w:rsidP="009A7FE7">
      <w:pPr>
        <w:spacing w:before="120" w:after="120"/>
        <w:jc w:val="center"/>
        <w:rPr>
          <w:b/>
          <w:sz w:val="16"/>
          <w:szCs w:val="16"/>
          <w:lang w:val="vi-VN"/>
        </w:rPr>
      </w:pPr>
    </w:p>
    <w:p w:rsidR="00F952F4" w:rsidRPr="00766F61" w:rsidRDefault="00F952F4" w:rsidP="009A7FE7">
      <w:pPr>
        <w:spacing w:before="120" w:after="120"/>
        <w:jc w:val="center"/>
        <w:rPr>
          <w:b/>
          <w:lang w:val="vi-VN"/>
        </w:rPr>
      </w:pPr>
      <w:r w:rsidRPr="00766F61">
        <w:rPr>
          <w:b/>
          <w:lang w:val="vi-VN"/>
        </w:rPr>
        <w:t>Phần thứ hai</w:t>
      </w:r>
    </w:p>
    <w:p w:rsidR="00F952F4" w:rsidRPr="00894698" w:rsidRDefault="00F952F4" w:rsidP="00F952F4">
      <w:pPr>
        <w:widowControl w:val="0"/>
        <w:tabs>
          <w:tab w:val="left" w:pos="4148"/>
        </w:tabs>
        <w:jc w:val="center"/>
        <w:rPr>
          <w:b/>
          <w:lang w:val="vi-VN"/>
        </w:rPr>
      </w:pPr>
      <w:r w:rsidRPr="00AF329B">
        <w:rPr>
          <w:b/>
          <w:lang w:val="vi-VN"/>
        </w:rPr>
        <w:t xml:space="preserve">ĐÁNH GIÁ TÌNH HÌNH THỰC </w:t>
      </w:r>
      <w:r w:rsidRPr="00894698">
        <w:rPr>
          <w:b/>
          <w:lang w:val="vi-VN"/>
        </w:rPr>
        <w:t>HIỆN</w:t>
      </w:r>
      <w:r w:rsidR="009D07CC">
        <w:rPr>
          <w:b/>
        </w:rPr>
        <w:t xml:space="preserve"> </w:t>
      </w:r>
      <w:r w:rsidRPr="00894698">
        <w:rPr>
          <w:b/>
        </w:rPr>
        <w:t xml:space="preserve">NGHỊ ĐỊNH </w:t>
      </w:r>
      <w:r w:rsidR="00470C8D">
        <w:rPr>
          <w:b/>
          <w:lang w:eastAsia="vi-VN"/>
        </w:rPr>
        <w:t>119</w:t>
      </w:r>
      <w:r w:rsidRPr="00894698">
        <w:rPr>
          <w:b/>
          <w:lang w:eastAsia="vi-VN"/>
        </w:rPr>
        <w:t>/201</w:t>
      </w:r>
      <w:r w:rsidR="00470C8D">
        <w:rPr>
          <w:b/>
          <w:lang w:eastAsia="vi-VN"/>
        </w:rPr>
        <w:t>7</w:t>
      </w:r>
      <w:r w:rsidRPr="00894698">
        <w:rPr>
          <w:b/>
          <w:lang w:eastAsia="vi-VN"/>
        </w:rPr>
        <w:t xml:space="preserve">/NĐ-CP </w:t>
      </w:r>
    </w:p>
    <w:p w:rsidR="00F952F4" w:rsidRDefault="00F952F4" w:rsidP="00D23A11">
      <w:pPr>
        <w:widowControl w:val="0"/>
        <w:spacing w:before="240" w:after="120"/>
        <w:ind w:firstLine="720"/>
        <w:jc w:val="both"/>
        <w:rPr>
          <w:b/>
        </w:rPr>
      </w:pPr>
      <w:r>
        <w:rPr>
          <w:b/>
        </w:rPr>
        <w:t>1. Những mặt tích cực, đạt được:</w:t>
      </w:r>
    </w:p>
    <w:p w:rsidR="00F952F4" w:rsidRPr="00B15B3E" w:rsidRDefault="00F952F4" w:rsidP="00F952F4">
      <w:pPr>
        <w:spacing w:before="120" w:after="120"/>
        <w:ind w:firstLine="720"/>
        <w:jc w:val="both"/>
      </w:pPr>
      <w:r w:rsidRPr="00B15B3E">
        <w:t xml:space="preserve">Nghị định </w:t>
      </w:r>
      <w:r w:rsidR="000C21EC">
        <w:t xml:space="preserve">số </w:t>
      </w:r>
      <w:r w:rsidR="00470C8D">
        <w:t>119</w:t>
      </w:r>
      <w:r w:rsidR="000C21EC">
        <w:t>/20</w:t>
      </w:r>
      <w:r w:rsidR="005E4957">
        <w:t>17</w:t>
      </w:r>
      <w:r w:rsidR="000C21EC">
        <w:t xml:space="preserve">/NĐ-CP </w:t>
      </w:r>
      <w:r w:rsidRPr="00B15B3E">
        <w:t xml:space="preserve">đã tạo hành lang pháp lý cho việc xử phạt các hành vi vi phạm, góp phần nâng ý thức, hiệu quả quản lý trong lĩnh vực </w:t>
      </w:r>
      <w:r w:rsidR="000C21EC">
        <w:t>tiêu chuẩn, đo lường và chất lượng sản phẩm, hàng hóa.</w:t>
      </w:r>
    </w:p>
    <w:p w:rsidR="00F952F4" w:rsidRDefault="00F952F4" w:rsidP="00F952F4">
      <w:pPr>
        <w:spacing w:before="120" w:after="120"/>
        <w:ind w:firstLine="720"/>
        <w:jc w:val="both"/>
      </w:pPr>
      <w:r w:rsidRPr="00B15B3E">
        <w:lastRenderedPageBreak/>
        <w:t>Các hành vi vi phạm</w:t>
      </w:r>
      <w:r>
        <w:t xml:space="preserve"> hành chính đã được xử lý kiên quyết, triệt để, xử lý đúng người, đúng hành vi vi phạm, đúng pháp luật nên đã góp p</w:t>
      </w:r>
      <w:r w:rsidR="00967259">
        <w:t xml:space="preserve">hần bảo vệ </w:t>
      </w:r>
      <w:r>
        <w:t>quyền, lợi ích hợp pháp của cá nhân, tổ chức và nâng cao hiệu lực</w:t>
      </w:r>
      <w:r w:rsidR="00045A93">
        <w:t>, hiệu quả của</w:t>
      </w:r>
      <w:r>
        <w:t xml:space="preserve"> quản lý nhà nước. Việc xử lý vi phạm hành chính được tiến hành nhan</w:t>
      </w:r>
      <w:r w:rsidR="001A454B">
        <w:t>h</w:t>
      </w:r>
      <w:r w:rsidR="00C6237A">
        <w:t xml:space="preserve"> chóng, công bằng</w:t>
      </w:r>
      <w:r>
        <w:t>, triệt để. Công tác khắc phục hậu quả được thực hiện theo đúng quy định của pháp luật.</w:t>
      </w:r>
    </w:p>
    <w:p w:rsidR="00F952F4" w:rsidRDefault="00F952F4" w:rsidP="00C6237A">
      <w:pPr>
        <w:spacing w:before="120" w:after="120"/>
        <w:ind w:firstLine="720"/>
        <w:jc w:val="both"/>
      </w:pPr>
      <w:r>
        <w:t>Các thủ tục xử phạt vi phạm hành chính được thực hiện theo đúng quy trình của pháp luật ở tất cả các bước: lập biên bản, ra quyết định xử phạt, việc gửi quyết định xử phạt đến đối tượng bị xử phạt.</w:t>
      </w:r>
      <w:r w:rsidR="00C6237A">
        <w:t xml:space="preserve"> </w:t>
      </w:r>
      <w:r>
        <w:t>Các quyết định xử phạt, văn bản cảnh cáo, nhắc nhở, hướng dẫ</w:t>
      </w:r>
      <w:r w:rsidR="00C6237A">
        <w:t>n được các tổ chưc, cá nhân</w:t>
      </w:r>
      <w:r>
        <w:t xml:space="preserve"> chấp hành nghiêm túc, không có trường hợp khiếu nại.</w:t>
      </w:r>
    </w:p>
    <w:p w:rsidR="00F952F4" w:rsidRDefault="00F952F4" w:rsidP="00732CED">
      <w:pPr>
        <w:widowControl w:val="0"/>
        <w:spacing w:before="240" w:after="120"/>
        <w:ind w:firstLine="720"/>
        <w:jc w:val="both"/>
        <w:rPr>
          <w:b/>
        </w:rPr>
      </w:pPr>
      <w:r w:rsidRPr="008670F1">
        <w:rPr>
          <w:b/>
        </w:rPr>
        <w:t>2. Những</w:t>
      </w:r>
      <w:r>
        <w:rPr>
          <w:b/>
        </w:rPr>
        <w:t xml:space="preserve"> khó khăn</w:t>
      </w:r>
      <w:r w:rsidR="00654867">
        <w:rPr>
          <w:b/>
        </w:rPr>
        <w:t>,</w:t>
      </w:r>
      <w:r>
        <w:rPr>
          <w:b/>
        </w:rPr>
        <w:t xml:space="preserve"> vướng mắc</w:t>
      </w:r>
    </w:p>
    <w:p w:rsidR="00831D1C" w:rsidRPr="00831D1C" w:rsidRDefault="00831D1C" w:rsidP="00B9043A">
      <w:pPr>
        <w:tabs>
          <w:tab w:val="left" w:pos="630"/>
          <w:tab w:val="left" w:pos="990"/>
        </w:tabs>
        <w:spacing w:before="120" w:after="120"/>
        <w:ind w:firstLine="720"/>
        <w:jc w:val="both"/>
        <w:rPr>
          <w:lang w:val="sv-SE"/>
        </w:rPr>
      </w:pPr>
      <w:r w:rsidRPr="00831D1C">
        <w:rPr>
          <w:lang w:val="sv-SE"/>
        </w:rPr>
        <w:t>Bên cạnh đó, quá trình triển khai áp dụng Nghị định số 119/2017/NĐ-CP đã phát sinh một số bất cập, vướng mắc, hạn chế cần phải được sửa đổi, bổ sung cho phù hợp, cụ thể:</w:t>
      </w:r>
    </w:p>
    <w:p w:rsidR="007E4E42" w:rsidRPr="007E4E42" w:rsidRDefault="007E4E42" w:rsidP="007E4E42">
      <w:pPr>
        <w:tabs>
          <w:tab w:val="left" w:pos="630"/>
          <w:tab w:val="left" w:pos="990"/>
        </w:tabs>
        <w:spacing w:before="120" w:after="120"/>
        <w:ind w:left="720"/>
        <w:jc w:val="both"/>
        <w:rPr>
          <w:spacing w:val="-4"/>
          <w:lang w:val="sv-SE"/>
        </w:rPr>
      </w:pPr>
      <w:r w:rsidRPr="007E4E42">
        <w:rPr>
          <w:spacing w:val="-4"/>
          <w:lang w:val="sv-SE"/>
        </w:rPr>
        <w:t xml:space="preserve">- Một số hành vi hiện có mức xử phạt thấp, chưa đủ sức răn đe (Điều 9); </w:t>
      </w:r>
    </w:p>
    <w:p w:rsidR="007E4E42" w:rsidRPr="007E4E42" w:rsidRDefault="007E4E42" w:rsidP="007E4E42">
      <w:pPr>
        <w:tabs>
          <w:tab w:val="left" w:pos="630"/>
          <w:tab w:val="left" w:pos="990"/>
        </w:tabs>
        <w:spacing w:before="120" w:after="120"/>
        <w:jc w:val="both"/>
        <w:rPr>
          <w:lang w:val="sv-SE"/>
        </w:rPr>
      </w:pPr>
      <w:r w:rsidRPr="007E4E42">
        <w:rPr>
          <w:lang w:val="sv-SE"/>
        </w:rPr>
        <w:t xml:space="preserve">          - Mức xử phạt chưa phù hợp với tính chất và mức độ của hành vi vi phạm: hành vi sản xuất hàng hóa vi phạm về chất lượng (Điều 19) có mức xử phạt thấp hơn hành vi buôn bán hàng hóa vi phạm về chất lượng (Điều 20);</w:t>
      </w:r>
    </w:p>
    <w:p w:rsidR="007E4E42" w:rsidRPr="007E4E42" w:rsidRDefault="007E4E42" w:rsidP="007E4E42">
      <w:pPr>
        <w:tabs>
          <w:tab w:val="left" w:pos="630"/>
          <w:tab w:val="left" w:pos="990"/>
        </w:tabs>
        <w:spacing w:before="120" w:after="120"/>
        <w:jc w:val="both"/>
        <w:rPr>
          <w:lang w:val="sv-SE"/>
        </w:rPr>
      </w:pPr>
      <w:r w:rsidRPr="007E4E42">
        <w:rPr>
          <w:lang w:val="sv-SE"/>
        </w:rPr>
        <w:t xml:space="preserve">          - M</w:t>
      </w:r>
      <w:r w:rsidRPr="007E4E42">
        <w:rPr>
          <w:rFonts w:cs="Calibri"/>
          <w:lang w:val="sv-SE"/>
        </w:rPr>
        <w:t>ộ</w:t>
      </w:r>
      <w:r w:rsidRPr="007E4E42">
        <w:rPr>
          <w:lang w:val="sv-SE"/>
        </w:rPr>
        <w:t>t s</w:t>
      </w:r>
      <w:r w:rsidRPr="007E4E42">
        <w:rPr>
          <w:rFonts w:cs="Calibri"/>
          <w:lang w:val="sv-SE"/>
        </w:rPr>
        <w:t>ố</w:t>
      </w:r>
      <w:r w:rsidRPr="007E4E42">
        <w:rPr>
          <w:lang w:val="sv-SE"/>
        </w:rPr>
        <w:t xml:space="preserve"> h</w:t>
      </w:r>
      <w:r w:rsidRPr="007E4E42">
        <w:rPr>
          <w:rFonts w:cs="Calibri"/>
          <w:lang w:val="sv-SE"/>
        </w:rPr>
        <w:t>à</w:t>
      </w:r>
      <w:r w:rsidRPr="007E4E42">
        <w:rPr>
          <w:lang w:val="sv-SE"/>
        </w:rPr>
        <w:t>nh vi thiết kế chưa hợp lý và không khả thi, khó xác định trong thực tế: hành vi thay thế, đánh tráo, thêm bớt thành phần hoặc chất phụ gia, pha trộn tạp chất làm giảm chất lượng so với tiêu chuẩn công bố, quy chuẩn kỹ thuật tương ứng (khoản 6, điểm b khoản 7 Điều 20);</w:t>
      </w:r>
    </w:p>
    <w:p w:rsidR="007E4E42" w:rsidRPr="007E4E42" w:rsidRDefault="007E4E42" w:rsidP="007E4E42">
      <w:pPr>
        <w:tabs>
          <w:tab w:val="left" w:pos="630"/>
          <w:tab w:val="left" w:pos="990"/>
        </w:tabs>
        <w:spacing w:before="120" w:after="120"/>
        <w:jc w:val="both"/>
        <w:rPr>
          <w:lang w:val="sv-SE"/>
        </w:rPr>
      </w:pPr>
      <w:r w:rsidRPr="007E4E42">
        <w:rPr>
          <w:lang w:val="sv-SE"/>
        </w:rPr>
        <w:t xml:space="preserve">          - M</w:t>
      </w:r>
      <w:r w:rsidRPr="007E4E42">
        <w:rPr>
          <w:rFonts w:cs="Calibri"/>
          <w:lang w:val="sv-SE"/>
        </w:rPr>
        <w:t>ứ</w:t>
      </w:r>
      <w:r w:rsidRPr="007E4E42">
        <w:rPr>
          <w:lang w:val="sv-SE"/>
        </w:rPr>
        <w:t>c ph</w:t>
      </w:r>
      <w:r w:rsidRPr="007E4E42">
        <w:rPr>
          <w:rFonts w:cs="Calibri"/>
          <w:lang w:val="sv-SE"/>
        </w:rPr>
        <w:t>ạ</w:t>
      </w:r>
      <w:r w:rsidRPr="007E4E42">
        <w:rPr>
          <w:lang w:val="sv-SE"/>
        </w:rPr>
        <w:t>t khác nhau đối với cùng hành vi vi phạm: hành vi vi phạm về ghi nhãn phương tiện đo, chuẩn đo lường (các Điều 5, 6 và Điều 7) và vi phạm quy định về nhãn hàng hóa (Điều 30 và Điều 31);</w:t>
      </w:r>
    </w:p>
    <w:p w:rsidR="007E4E42" w:rsidRPr="007E4E42" w:rsidRDefault="007E4E42" w:rsidP="007E4E42">
      <w:pPr>
        <w:widowControl w:val="0"/>
        <w:tabs>
          <w:tab w:val="left" w:pos="990"/>
        </w:tabs>
        <w:spacing w:before="120" w:after="120"/>
        <w:jc w:val="both"/>
        <w:rPr>
          <w:lang w:val="sv-SE"/>
        </w:rPr>
      </w:pPr>
      <w:r w:rsidRPr="007E4E42">
        <w:rPr>
          <w:lang w:val="sv-SE"/>
        </w:rPr>
        <w:t xml:space="preserve">         - M</w:t>
      </w:r>
      <w:r w:rsidRPr="007E4E42">
        <w:rPr>
          <w:rFonts w:cs="Calibri"/>
          <w:lang w:val="sv-SE"/>
        </w:rPr>
        <w:t>ộ</w:t>
      </w:r>
      <w:r w:rsidRPr="007E4E42">
        <w:rPr>
          <w:lang w:val="sv-SE"/>
        </w:rPr>
        <w:t>t s</w:t>
      </w:r>
      <w:r w:rsidRPr="007E4E42">
        <w:rPr>
          <w:rFonts w:cs="Calibri"/>
          <w:lang w:val="sv-SE"/>
        </w:rPr>
        <w:t>ố</w:t>
      </w:r>
      <w:r w:rsidRPr="007E4E42">
        <w:rPr>
          <w:lang w:val="sv-SE"/>
        </w:rPr>
        <w:t xml:space="preserve"> bi</w:t>
      </w:r>
      <w:r w:rsidRPr="007E4E42">
        <w:rPr>
          <w:rFonts w:cs="Calibri"/>
          <w:lang w:val="sv-SE"/>
        </w:rPr>
        <w:t>ệ</w:t>
      </w:r>
      <w:r w:rsidRPr="007E4E42">
        <w:rPr>
          <w:lang w:val="sv-SE"/>
        </w:rPr>
        <w:t>n ph</w:t>
      </w:r>
      <w:r w:rsidRPr="007E4E42">
        <w:rPr>
          <w:rFonts w:cs=".VnTime"/>
          <w:lang w:val="sv-SE"/>
        </w:rPr>
        <w:t>á</w:t>
      </w:r>
      <w:r w:rsidRPr="007E4E42">
        <w:rPr>
          <w:lang w:val="sv-SE"/>
        </w:rPr>
        <w:t>p x</w:t>
      </w:r>
      <w:r w:rsidRPr="007E4E42">
        <w:rPr>
          <w:rFonts w:cs="Calibri"/>
          <w:lang w:val="sv-SE"/>
        </w:rPr>
        <w:t>ử</w:t>
      </w:r>
      <w:r w:rsidRPr="007E4E42">
        <w:rPr>
          <w:lang w:val="sv-SE"/>
        </w:rPr>
        <w:t xml:space="preserve"> ph</w:t>
      </w:r>
      <w:r w:rsidRPr="007E4E42">
        <w:rPr>
          <w:rFonts w:cs="Calibri"/>
          <w:lang w:val="sv-SE"/>
        </w:rPr>
        <w:t>ạ</w:t>
      </w:r>
      <w:r w:rsidRPr="007E4E42">
        <w:rPr>
          <w:lang w:val="sv-SE"/>
        </w:rPr>
        <w:t>t b</w:t>
      </w:r>
      <w:r w:rsidRPr="007E4E42">
        <w:rPr>
          <w:rFonts w:cs="Calibri"/>
          <w:lang w:val="sv-SE"/>
        </w:rPr>
        <w:t>ổ</w:t>
      </w:r>
      <w:r w:rsidRPr="007E4E42">
        <w:rPr>
          <w:lang w:val="sv-SE"/>
        </w:rPr>
        <w:t xml:space="preserve"> sung chưa hợp lý: tước quyền sử dụng giấy chứng nhận hợp chuẩn, giấy chứng nhận hợp quy, dấu hợp chuẩn, giấy hợp quy, chứng chỉ công nhận; chứng chỉ kiểm định tại Điều 2, Điều19 (vì đây không phải là </w:t>
      </w:r>
      <w:r w:rsidRPr="007E4E42">
        <w:t>giấy phép, chứng chỉ hành nghề theo quy định tại Điều 21 Luật Xử lý vi phạm hành chính</w:t>
      </w:r>
      <w:r w:rsidRPr="007E4E42">
        <w:rPr>
          <w:lang w:val="sv-SE"/>
        </w:rPr>
        <w:t xml:space="preserve">); </w:t>
      </w:r>
    </w:p>
    <w:p w:rsidR="007E4E42" w:rsidRPr="007E4E42" w:rsidRDefault="007E4E42" w:rsidP="007E4E42">
      <w:pPr>
        <w:widowControl w:val="0"/>
        <w:tabs>
          <w:tab w:val="left" w:pos="990"/>
        </w:tabs>
        <w:spacing w:before="120" w:after="120"/>
        <w:jc w:val="both"/>
        <w:rPr>
          <w:lang w:val="sv-SE" w:eastAsia="vi-VN"/>
        </w:rPr>
      </w:pPr>
      <w:r w:rsidRPr="007E4E42">
        <w:rPr>
          <w:lang w:val="sv-SE"/>
        </w:rPr>
        <w:t xml:space="preserve">           - M</w:t>
      </w:r>
      <w:r w:rsidRPr="007E4E42">
        <w:rPr>
          <w:rFonts w:cs="Calibri"/>
          <w:lang w:val="sv-SE"/>
        </w:rPr>
        <w:t>ộ</w:t>
      </w:r>
      <w:r w:rsidRPr="007E4E42">
        <w:rPr>
          <w:lang w:val="sv-SE"/>
        </w:rPr>
        <w:t>t s</w:t>
      </w:r>
      <w:r w:rsidRPr="007E4E42">
        <w:rPr>
          <w:rFonts w:cs="Calibri"/>
          <w:lang w:val="sv-SE"/>
        </w:rPr>
        <w:t>ố</w:t>
      </w:r>
      <w:r w:rsidRPr="007E4E42">
        <w:rPr>
          <w:lang w:val="sv-SE"/>
        </w:rPr>
        <w:t xml:space="preserve"> h</w:t>
      </w:r>
      <w:r w:rsidRPr="007E4E42">
        <w:rPr>
          <w:rFonts w:cs="Calibri"/>
          <w:lang w:val="sv-SE"/>
        </w:rPr>
        <w:t>à</w:t>
      </w:r>
      <w:r w:rsidRPr="007E4E42">
        <w:rPr>
          <w:lang w:val="sv-SE"/>
        </w:rPr>
        <w:t>nh vi vi ph</w:t>
      </w:r>
      <w:r w:rsidRPr="007E4E42">
        <w:rPr>
          <w:rFonts w:cs="Calibri"/>
          <w:lang w:val="sv-SE"/>
        </w:rPr>
        <w:t>ạ</w:t>
      </w:r>
      <w:r w:rsidRPr="007E4E42">
        <w:rPr>
          <w:lang w:val="sv-SE"/>
        </w:rPr>
        <w:t>m c</w:t>
      </w:r>
      <w:r w:rsidRPr="007E4E42">
        <w:rPr>
          <w:rFonts w:cs="Calibri"/>
          <w:lang w:val="sv-SE"/>
        </w:rPr>
        <w:t>ầ</w:t>
      </w:r>
      <w:r w:rsidRPr="007E4E42">
        <w:rPr>
          <w:lang w:val="sv-SE"/>
        </w:rPr>
        <w:t>n bổ sung biện pháp xử phạt bổ sung để bảo đảm tính răn đe, xử lý dứt điểm hành vi vi phạm: hành vi t</w:t>
      </w:r>
      <w:r w:rsidRPr="007E4E42">
        <w:rPr>
          <w:lang w:val="sv-SE" w:eastAsia="vi-VN"/>
        </w:rPr>
        <w:t xml:space="preserve">hực hiện hoạt động đánh giá sự phù hợp khi chưa được cơ quan có thẩm quyền cấp đăng ký hoạt động theo quy định; thực hiện đánh giá sự phù hợp ngoài lĩnh vực đã đăng ký (Điều 21); hành vi sản xuất, pha chế xăng dầu khi chưa được cơ quan có thẩm quyền cấp </w:t>
      </w:r>
      <w:r w:rsidRPr="007E4E42">
        <w:rPr>
          <w:lang w:val="vi-VN" w:eastAsia="vi-VN"/>
        </w:rPr>
        <w:t>giấy chứng nhận</w:t>
      </w:r>
      <w:r w:rsidRPr="007E4E42">
        <w:rPr>
          <w:lang w:val="sv-SE" w:eastAsia="vi-VN"/>
        </w:rPr>
        <w:t>; sử dụng giấy chứng nhận đăng ký cơ sở pha chế xăng dầu đã hết hiệu lực (Điều 29);</w:t>
      </w:r>
    </w:p>
    <w:p w:rsidR="007E4E42" w:rsidRPr="007E4E42" w:rsidRDefault="007E4E42" w:rsidP="007E4E42">
      <w:pPr>
        <w:tabs>
          <w:tab w:val="left" w:pos="630"/>
          <w:tab w:val="left" w:pos="990"/>
        </w:tabs>
        <w:spacing w:before="120" w:after="120"/>
        <w:jc w:val="both"/>
        <w:rPr>
          <w:lang w:val="sv-SE"/>
        </w:rPr>
      </w:pPr>
      <w:r w:rsidRPr="007E4E42">
        <w:rPr>
          <w:lang w:val="sv-SE"/>
        </w:rPr>
        <w:lastRenderedPageBreak/>
        <w:t xml:space="preserve">         - Một số biện pháp khắc phục hậu quả không khả thi trong thực tế: buộc thu hồi chứng chỉ kiểm định, hiệu chuẩn; buộc thu hồi quyết định phê duyệt mẫu phương tiện đo đã hết hiệu lực (Điều 7, Điều 10); </w:t>
      </w:r>
    </w:p>
    <w:p w:rsidR="007E4E42" w:rsidRPr="007E4E42" w:rsidRDefault="007E4E42" w:rsidP="007E4E42">
      <w:pPr>
        <w:tabs>
          <w:tab w:val="left" w:pos="630"/>
          <w:tab w:val="left" w:pos="990"/>
        </w:tabs>
        <w:spacing w:before="120" w:after="120"/>
        <w:jc w:val="both"/>
        <w:rPr>
          <w:spacing w:val="-4"/>
          <w:lang w:val="sv-SE"/>
        </w:rPr>
      </w:pPr>
      <w:r w:rsidRPr="007E4E42">
        <w:rPr>
          <w:spacing w:val="-4"/>
          <w:lang w:val="sv-SE"/>
        </w:rPr>
        <w:t xml:space="preserve">         - M</w:t>
      </w:r>
      <w:r w:rsidRPr="007E4E42">
        <w:rPr>
          <w:rFonts w:cs="Calibri"/>
          <w:spacing w:val="-4"/>
          <w:lang w:val="sv-SE"/>
        </w:rPr>
        <w:t>ộ</w:t>
      </w:r>
      <w:r w:rsidRPr="007E4E42">
        <w:rPr>
          <w:spacing w:val="-4"/>
          <w:lang w:val="sv-SE"/>
        </w:rPr>
        <w:t>t s</w:t>
      </w:r>
      <w:r w:rsidRPr="007E4E42">
        <w:rPr>
          <w:rFonts w:cs="Calibri"/>
          <w:spacing w:val="-4"/>
          <w:lang w:val="sv-SE"/>
        </w:rPr>
        <w:t>ố</w:t>
      </w:r>
      <w:r w:rsidRPr="007E4E42">
        <w:rPr>
          <w:spacing w:val="-4"/>
          <w:lang w:val="sv-SE"/>
        </w:rPr>
        <w:t xml:space="preserve"> bi</w:t>
      </w:r>
      <w:r w:rsidRPr="007E4E42">
        <w:rPr>
          <w:rFonts w:cs="Calibri"/>
          <w:spacing w:val="-4"/>
          <w:lang w:val="sv-SE"/>
        </w:rPr>
        <w:t>ệ</w:t>
      </w:r>
      <w:r w:rsidRPr="007E4E42">
        <w:rPr>
          <w:spacing w:val="-4"/>
          <w:lang w:val="sv-SE"/>
        </w:rPr>
        <w:t>n ph</w:t>
      </w:r>
      <w:r w:rsidRPr="007E4E42">
        <w:rPr>
          <w:rFonts w:cs=".VnTime"/>
          <w:spacing w:val="-4"/>
          <w:lang w:val="sv-SE"/>
        </w:rPr>
        <w:t>á</w:t>
      </w:r>
      <w:r w:rsidRPr="007E4E42">
        <w:rPr>
          <w:spacing w:val="-4"/>
          <w:lang w:val="sv-SE"/>
        </w:rPr>
        <w:t>p kh</w:t>
      </w:r>
      <w:r w:rsidRPr="007E4E42">
        <w:rPr>
          <w:rFonts w:cs="Calibri"/>
          <w:spacing w:val="-4"/>
          <w:lang w:val="sv-SE"/>
        </w:rPr>
        <w:t>ắ</w:t>
      </w:r>
      <w:r w:rsidRPr="007E4E42">
        <w:rPr>
          <w:spacing w:val="-4"/>
          <w:lang w:val="sv-SE"/>
        </w:rPr>
        <w:t>c ph</w:t>
      </w:r>
      <w:r w:rsidRPr="007E4E42">
        <w:rPr>
          <w:rFonts w:cs="Calibri"/>
          <w:spacing w:val="-4"/>
          <w:lang w:val="sv-SE"/>
        </w:rPr>
        <w:t>ụ</w:t>
      </w:r>
      <w:r w:rsidRPr="007E4E42">
        <w:rPr>
          <w:spacing w:val="-4"/>
          <w:lang w:val="sv-SE"/>
        </w:rPr>
        <w:t>c h</w:t>
      </w:r>
      <w:r w:rsidRPr="007E4E42">
        <w:rPr>
          <w:rFonts w:cs="Calibri"/>
          <w:spacing w:val="-4"/>
          <w:lang w:val="sv-SE"/>
        </w:rPr>
        <w:t>ậ</w:t>
      </w:r>
      <w:r w:rsidRPr="007E4E42">
        <w:rPr>
          <w:spacing w:val="-4"/>
          <w:lang w:val="sv-SE"/>
        </w:rPr>
        <w:t>u qu</w:t>
      </w:r>
      <w:r w:rsidRPr="007E4E42">
        <w:rPr>
          <w:rFonts w:cs="Calibri"/>
          <w:spacing w:val="-4"/>
          <w:lang w:val="sv-SE"/>
        </w:rPr>
        <w:t>ả</w:t>
      </w:r>
      <w:r w:rsidRPr="007E4E42">
        <w:rPr>
          <w:spacing w:val="-4"/>
          <w:lang w:val="sv-SE"/>
        </w:rPr>
        <w:t xml:space="preserve"> chưa cụ thể, chưa phù hợp với hành vi vi phạm: điểm b khoản 6 Điều 6, điểm b khoản 6 Điều 7, điểm a khoản 6 Điều 17, khoản 5 Điều 18, khoản 6 Điều 19, khoản 3 Điều 30, khoản 8 Điều 31);</w:t>
      </w:r>
    </w:p>
    <w:p w:rsidR="007E4E42" w:rsidRPr="007E4E42" w:rsidRDefault="007E4E42" w:rsidP="007E4E42">
      <w:pPr>
        <w:tabs>
          <w:tab w:val="left" w:pos="630"/>
          <w:tab w:val="left" w:pos="990"/>
        </w:tabs>
        <w:spacing w:before="120" w:after="120"/>
        <w:jc w:val="both"/>
        <w:rPr>
          <w:spacing w:val="-4"/>
          <w:lang w:val="sv-SE"/>
        </w:rPr>
      </w:pPr>
      <w:r w:rsidRPr="007E4E42">
        <w:rPr>
          <w:spacing w:val="-4"/>
          <w:lang w:val="sv-SE"/>
        </w:rPr>
        <w:t xml:space="preserve">         - Ch</w:t>
      </w:r>
      <w:r w:rsidRPr="007E4E42">
        <w:rPr>
          <w:rFonts w:cs="Calibri"/>
          <w:spacing w:val="-4"/>
          <w:lang w:val="sv-SE"/>
        </w:rPr>
        <w:t>ư</w:t>
      </w:r>
      <w:r w:rsidRPr="007E4E42">
        <w:rPr>
          <w:spacing w:val="-4"/>
          <w:lang w:val="sv-SE"/>
        </w:rPr>
        <w:t xml:space="preserve">a quy </w:t>
      </w:r>
      <w:r w:rsidRPr="007E4E42">
        <w:rPr>
          <w:rFonts w:cs="Calibri"/>
          <w:spacing w:val="-4"/>
          <w:lang w:val="sv-SE"/>
        </w:rPr>
        <w:t>đị</w:t>
      </w:r>
      <w:r w:rsidRPr="007E4E42">
        <w:rPr>
          <w:spacing w:val="-4"/>
          <w:lang w:val="sv-SE"/>
        </w:rPr>
        <w:t>nh biện pháp khắc phục hậu quả đối với một số hành vi: hành vi vi phạm trong sửa chữa phương tiện đo: tác</w:t>
      </w:r>
      <w:r w:rsidRPr="007E4E42">
        <w:rPr>
          <w:spacing w:val="-4"/>
          <w:lang w:val="vi-VN"/>
        </w:rPr>
        <w:t xml:space="preserve"> động</w:t>
      </w:r>
      <w:r w:rsidRPr="007E4E42">
        <w:rPr>
          <w:spacing w:val="-4"/>
          <w:lang w:val="sv-SE"/>
        </w:rPr>
        <w:t xml:space="preserve">, </w:t>
      </w:r>
      <w:r w:rsidRPr="007E4E42">
        <w:rPr>
          <w:bCs/>
          <w:iCs/>
          <w:spacing w:val="-4"/>
          <w:lang w:val="sv-SE" w:eastAsia="vi-VN"/>
        </w:rPr>
        <w:t xml:space="preserve">điều chỉnh, lắp thêm, rút bớt, </w:t>
      </w:r>
      <w:r w:rsidRPr="007E4E42">
        <w:rPr>
          <w:bCs/>
          <w:spacing w:val="-4"/>
          <w:lang w:val="vi-VN"/>
        </w:rPr>
        <w:t>thay thế chức năng, cấu trúc</w:t>
      </w:r>
      <w:r w:rsidRPr="007E4E42">
        <w:rPr>
          <w:bCs/>
          <w:spacing w:val="-4"/>
        </w:rPr>
        <w:t xml:space="preserve"> </w:t>
      </w:r>
      <w:r w:rsidRPr="007E4E42">
        <w:rPr>
          <w:spacing w:val="-4"/>
          <w:lang w:val="vi-VN"/>
        </w:rPr>
        <w:t>kỹ thuật</w:t>
      </w:r>
      <w:r w:rsidRPr="007E4E42">
        <w:rPr>
          <w:spacing w:val="-4"/>
        </w:rPr>
        <w:t xml:space="preserve"> </w:t>
      </w:r>
      <w:r w:rsidRPr="007E4E42">
        <w:rPr>
          <w:spacing w:val="-4"/>
          <w:lang w:val="vi-VN"/>
        </w:rPr>
        <w:t xml:space="preserve">của phương tiện đo làm sai </w:t>
      </w:r>
      <w:r w:rsidRPr="007E4E42">
        <w:rPr>
          <w:spacing w:val="-4"/>
          <w:lang w:val="sv-SE"/>
        </w:rPr>
        <w:t xml:space="preserve">số của phương tiện đo quá phạm vi sai số cho phép </w:t>
      </w:r>
      <w:r w:rsidRPr="007E4E42">
        <w:rPr>
          <w:spacing w:val="-4"/>
          <w:lang w:val="vi-VN"/>
        </w:rPr>
        <w:t>hoặc làm thay đổi đặc tính kỹ thuật đo lường của phương tiện đo</w:t>
      </w:r>
      <w:r w:rsidRPr="007E4E42">
        <w:rPr>
          <w:spacing w:val="-4"/>
        </w:rPr>
        <w:t xml:space="preserve"> </w:t>
      </w:r>
      <w:r w:rsidRPr="007E4E42">
        <w:rPr>
          <w:spacing w:val="-4"/>
          <w:lang w:val="vi-VN"/>
        </w:rPr>
        <w:t>kh</w:t>
      </w:r>
      <w:r w:rsidRPr="007E4E42">
        <w:rPr>
          <w:spacing w:val="-4"/>
          <w:lang w:val="sv-SE"/>
        </w:rPr>
        <w:t>ông đúng với</w:t>
      </w:r>
      <w:r w:rsidRPr="007E4E42">
        <w:rPr>
          <w:spacing w:val="-4"/>
          <w:lang w:val="vi-VN"/>
        </w:rPr>
        <w:t xml:space="preserve"> mẫu phương tiện đo được cơ quan có thẩm quyền phê duyệt</w:t>
      </w:r>
      <w:r w:rsidRPr="007E4E42">
        <w:rPr>
          <w:spacing w:val="-4"/>
        </w:rPr>
        <w:t xml:space="preserve"> (Điều 8); hành vi vi phạm trong</w:t>
      </w:r>
      <w:r w:rsidRPr="007E4E42">
        <w:rPr>
          <w:spacing w:val="-4"/>
          <w:lang w:val="sv-SE"/>
        </w:rPr>
        <w:t xml:space="preserve"> sử dụng phương tiện đo: sử dụng phương tiện đo chưa được kiểm định, hết hạn kiểm định (Điều 10); hành vi vi phạm về đo lường đối với hàng đóng gói sẵn: không ghi lượng hàng đóng gói sẵn, lượng của hàng đóng gói sẵn không phù hợp với tài liệu công bố, quy định của cơ quan có thẩm quyền, số đơn vị hàng đóng gói sẵn có lượng không phù hợp yêu cầu (Điều 15, 16); hành vi kinh doanh hàng hóa gian lận thời hạn sử dụng, hàng hóa hết hạn sử dụng (Điều 30) ;</w:t>
      </w:r>
    </w:p>
    <w:p w:rsidR="007E4E42" w:rsidRPr="007E4E42" w:rsidRDefault="007E4E42" w:rsidP="007E4E42">
      <w:pPr>
        <w:tabs>
          <w:tab w:val="left" w:pos="630"/>
          <w:tab w:val="left" w:pos="990"/>
        </w:tabs>
        <w:spacing w:before="120" w:after="120"/>
        <w:jc w:val="both"/>
        <w:rPr>
          <w:lang w:val="sv-SE"/>
        </w:rPr>
      </w:pPr>
      <w:r w:rsidRPr="007E4E42">
        <w:rPr>
          <w:bCs/>
          <w:lang w:val="sv-SE"/>
        </w:rPr>
        <w:t xml:space="preserve">           - B</w:t>
      </w:r>
      <w:r w:rsidRPr="007E4E42">
        <w:rPr>
          <w:rFonts w:cs="Calibri"/>
          <w:bCs/>
          <w:lang w:val="sv-SE"/>
        </w:rPr>
        <w:t>ổ</w:t>
      </w:r>
      <w:r w:rsidRPr="007E4E42">
        <w:rPr>
          <w:bCs/>
          <w:lang w:val="sv-SE"/>
        </w:rPr>
        <w:t xml:space="preserve"> sung h</w:t>
      </w:r>
      <w:r w:rsidRPr="007E4E42">
        <w:rPr>
          <w:rFonts w:cs="Calibri"/>
          <w:bCs/>
          <w:lang w:val="sv-SE"/>
        </w:rPr>
        <w:t>à</w:t>
      </w:r>
      <w:r w:rsidRPr="007E4E42">
        <w:rPr>
          <w:bCs/>
          <w:lang w:val="sv-SE"/>
        </w:rPr>
        <w:t>nh vi vi ph</w:t>
      </w:r>
      <w:r w:rsidRPr="007E4E42">
        <w:rPr>
          <w:rFonts w:cs="Calibri"/>
          <w:bCs/>
          <w:lang w:val="sv-SE"/>
        </w:rPr>
        <w:t>ạ</w:t>
      </w:r>
      <w:r w:rsidRPr="007E4E42">
        <w:rPr>
          <w:bCs/>
          <w:lang w:val="sv-SE"/>
        </w:rPr>
        <w:t>m v</w:t>
      </w:r>
      <w:r w:rsidRPr="007E4E42">
        <w:rPr>
          <w:rFonts w:cs="Calibri"/>
          <w:bCs/>
          <w:lang w:val="sv-SE"/>
        </w:rPr>
        <w:t>ề</w:t>
      </w:r>
      <w:r w:rsidRPr="007E4E42">
        <w:rPr>
          <w:bCs/>
          <w:lang w:val="sv-SE"/>
        </w:rPr>
        <w:t xml:space="preserve"> xu</w:t>
      </w:r>
      <w:r w:rsidRPr="007E4E42">
        <w:rPr>
          <w:rFonts w:cs="Calibri"/>
          <w:bCs/>
          <w:lang w:val="sv-SE"/>
        </w:rPr>
        <w:t>ấ</w:t>
      </w:r>
      <w:r w:rsidRPr="007E4E42">
        <w:rPr>
          <w:bCs/>
          <w:lang w:val="sv-SE"/>
        </w:rPr>
        <w:t>t x</w:t>
      </w:r>
      <w:r w:rsidRPr="007E4E42">
        <w:rPr>
          <w:rFonts w:cs="Calibri"/>
          <w:bCs/>
          <w:lang w:val="sv-SE"/>
        </w:rPr>
        <w:t>ứ</w:t>
      </w:r>
      <w:r w:rsidRPr="007E4E42">
        <w:rPr>
          <w:bCs/>
          <w:lang w:val="sv-SE"/>
        </w:rPr>
        <w:t xml:space="preserve"> h</w:t>
      </w:r>
      <w:r w:rsidRPr="007E4E42">
        <w:rPr>
          <w:rFonts w:cs="Calibri"/>
          <w:bCs/>
          <w:lang w:val="sv-SE"/>
        </w:rPr>
        <w:t>à</w:t>
      </w:r>
      <w:r w:rsidRPr="007E4E42">
        <w:rPr>
          <w:bCs/>
          <w:lang w:val="sv-SE"/>
        </w:rPr>
        <w:t>ng h</w:t>
      </w:r>
      <w:r w:rsidRPr="007E4E42">
        <w:rPr>
          <w:rFonts w:cs=".VnTime"/>
          <w:bCs/>
          <w:lang w:val="sv-SE"/>
        </w:rPr>
        <w:t>ó</w:t>
      </w:r>
      <w:r w:rsidRPr="007E4E42">
        <w:rPr>
          <w:bCs/>
          <w:lang w:val="sv-SE"/>
        </w:rPr>
        <w:t>a theo ch</w:t>
      </w:r>
      <w:r w:rsidRPr="007E4E42">
        <w:rPr>
          <w:rFonts w:cs="Calibri"/>
          <w:bCs/>
          <w:lang w:val="sv-SE"/>
        </w:rPr>
        <w:t>ỉ</w:t>
      </w:r>
      <w:r w:rsidRPr="007E4E42">
        <w:rPr>
          <w:bCs/>
          <w:lang w:val="sv-SE"/>
        </w:rPr>
        <w:t xml:space="preserve"> </w:t>
      </w:r>
      <w:r w:rsidRPr="007E4E42">
        <w:rPr>
          <w:rFonts w:cs="Calibri"/>
          <w:bCs/>
          <w:lang w:val="sv-SE"/>
        </w:rPr>
        <w:t>đạ</w:t>
      </w:r>
      <w:r w:rsidRPr="007E4E42">
        <w:rPr>
          <w:bCs/>
          <w:lang w:val="sv-SE"/>
        </w:rPr>
        <w:t>o t</w:t>
      </w:r>
      <w:r w:rsidRPr="007E4E42">
        <w:rPr>
          <w:rFonts w:cs="Calibri"/>
          <w:bCs/>
          <w:lang w:val="sv-SE"/>
        </w:rPr>
        <w:t>ạ</w:t>
      </w:r>
      <w:r w:rsidRPr="007E4E42">
        <w:rPr>
          <w:bCs/>
          <w:lang w:val="sv-SE"/>
        </w:rPr>
        <w:t>i</w:t>
      </w:r>
      <w:r w:rsidRPr="007E4E42">
        <w:rPr>
          <w:color w:val="000000"/>
          <w:spacing w:val="-4"/>
          <w:kern w:val="28"/>
          <w:lang w:val="pt-BR"/>
        </w:rPr>
        <w:t xml:space="preserve"> Nghị quyết số 119/NQ-CP ngày 31/12/2019 của Chính phủ .</w:t>
      </w:r>
    </w:p>
    <w:p w:rsidR="007E4E42" w:rsidRPr="007E4E42" w:rsidRDefault="007E4E42" w:rsidP="007E4E42">
      <w:pPr>
        <w:tabs>
          <w:tab w:val="left" w:pos="630"/>
          <w:tab w:val="left" w:pos="990"/>
        </w:tabs>
        <w:spacing w:before="120" w:after="120"/>
        <w:jc w:val="both"/>
        <w:rPr>
          <w:lang w:val="sv-SE"/>
        </w:rPr>
      </w:pPr>
      <w:r w:rsidRPr="007E4E42">
        <w:rPr>
          <w:bCs/>
          <w:lang w:val="sv-SE"/>
        </w:rPr>
        <w:t xml:space="preserve">           - M</w:t>
      </w:r>
      <w:r w:rsidRPr="007E4E42">
        <w:rPr>
          <w:rFonts w:cs="Calibri"/>
          <w:bCs/>
          <w:lang w:val="sv-SE"/>
        </w:rPr>
        <w:t>ộ</w:t>
      </w:r>
      <w:r w:rsidRPr="007E4E42">
        <w:rPr>
          <w:bCs/>
          <w:lang w:val="sv-SE"/>
        </w:rPr>
        <w:t>t s</w:t>
      </w:r>
      <w:r w:rsidRPr="007E4E42">
        <w:rPr>
          <w:rFonts w:cs="Calibri"/>
          <w:bCs/>
          <w:lang w:val="sv-SE"/>
        </w:rPr>
        <w:t>ố</w:t>
      </w:r>
      <w:r w:rsidRPr="007E4E42">
        <w:rPr>
          <w:bCs/>
          <w:lang w:val="sv-SE"/>
        </w:rPr>
        <w:t xml:space="preserve"> ch</w:t>
      </w:r>
      <w:r w:rsidRPr="007E4E42">
        <w:rPr>
          <w:rFonts w:cs="Calibri"/>
          <w:bCs/>
          <w:lang w:val="sv-SE"/>
        </w:rPr>
        <w:t>ứ</w:t>
      </w:r>
      <w:r w:rsidRPr="007E4E42">
        <w:rPr>
          <w:bCs/>
          <w:lang w:val="sv-SE"/>
        </w:rPr>
        <w:t>c danh c</w:t>
      </w:r>
      <w:r w:rsidRPr="007E4E42">
        <w:rPr>
          <w:rFonts w:cs=".VnTime"/>
          <w:bCs/>
          <w:lang w:val="sv-SE"/>
        </w:rPr>
        <w:t>ó</w:t>
      </w:r>
      <w:r w:rsidRPr="007E4E42">
        <w:rPr>
          <w:bCs/>
          <w:lang w:val="sv-SE"/>
        </w:rPr>
        <w:t xml:space="preserve"> th</w:t>
      </w:r>
      <w:r w:rsidRPr="007E4E42">
        <w:rPr>
          <w:rFonts w:cs="Calibri"/>
          <w:bCs/>
          <w:lang w:val="sv-SE"/>
        </w:rPr>
        <w:t>ẩ</w:t>
      </w:r>
      <w:r w:rsidRPr="007E4E42">
        <w:rPr>
          <w:bCs/>
          <w:lang w:val="sv-SE"/>
        </w:rPr>
        <w:t>m quy</w:t>
      </w:r>
      <w:r w:rsidRPr="007E4E42">
        <w:rPr>
          <w:rFonts w:cs="Calibri"/>
          <w:bCs/>
          <w:lang w:val="sv-SE"/>
        </w:rPr>
        <w:t>ề</w:t>
      </w:r>
      <w:r w:rsidRPr="007E4E42">
        <w:rPr>
          <w:bCs/>
          <w:lang w:val="sv-SE"/>
        </w:rPr>
        <w:t>n x</w:t>
      </w:r>
      <w:r w:rsidRPr="007E4E42">
        <w:rPr>
          <w:rFonts w:cs="Calibri"/>
          <w:bCs/>
          <w:lang w:val="sv-SE"/>
        </w:rPr>
        <w:t>ử</w:t>
      </w:r>
      <w:r w:rsidRPr="007E4E42">
        <w:rPr>
          <w:bCs/>
          <w:lang w:val="sv-SE"/>
        </w:rPr>
        <w:t xml:space="preserve"> ph</w:t>
      </w:r>
      <w:r w:rsidRPr="007E4E42">
        <w:rPr>
          <w:rFonts w:cs="Calibri"/>
          <w:bCs/>
          <w:lang w:val="sv-SE"/>
        </w:rPr>
        <w:t>ạ</w:t>
      </w:r>
      <w:r w:rsidRPr="007E4E42">
        <w:rPr>
          <w:bCs/>
          <w:lang w:val="sv-SE"/>
        </w:rPr>
        <w:t>t vi ph</w:t>
      </w:r>
      <w:r w:rsidRPr="007E4E42">
        <w:rPr>
          <w:rFonts w:cs="Calibri"/>
          <w:bCs/>
          <w:lang w:val="sv-SE"/>
        </w:rPr>
        <w:t>ạ</w:t>
      </w:r>
      <w:r w:rsidRPr="007E4E42">
        <w:rPr>
          <w:bCs/>
          <w:lang w:val="sv-SE"/>
        </w:rPr>
        <w:t>m h</w:t>
      </w:r>
      <w:r w:rsidRPr="007E4E42">
        <w:rPr>
          <w:rFonts w:cs="Calibri"/>
          <w:bCs/>
          <w:lang w:val="sv-SE"/>
        </w:rPr>
        <w:t>à</w:t>
      </w:r>
      <w:r w:rsidRPr="007E4E42">
        <w:rPr>
          <w:bCs/>
          <w:lang w:val="sv-SE"/>
        </w:rPr>
        <w:t>nh ch</w:t>
      </w:r>
      <w:r w:rsidRPr="007E4E42">
        <w:rPr>
          <w:rFonts w:cs=".VnTime"/>
          <w:bCs/>
          <w:lang w:val="sv-SE"/>
        </w:rPr>
        <w:t>í</w:t>
      </w:r>
      <w:r w:rsidRPr="007E4E42">
        <w:rPr>
          <w:bCs/>
          <w:lang w:val="sv-SE"/>
        </w:rPr>
        <w:t>nh c</w:t>
      </w:r>
      <w:r w:rsidRPr="007E4E42">
        <w:rPr>
          <w:rFonts w:cs=".VnTime"/>
          <w:bCs/>
          <w:lang w:val="sv-SE"/>
        </w:rPr>
        <w:t>ó</w:t>
      </w:r>
      <w:r w:rsidRPr="007E4E42">
        <w:rPr>
          <w:bCs/>
          <w:lang w:val="sv-SE"/>
        </w:rPr>
        <w:t xml:space="preserve"> s</w:t>
      </w:r>
      <w:r w:rsidRPr="007E4E42">
        <w:rPr>
          <w:rFonts w:cs="Calibri"/>
          <w:bCs/>
          <w:lang w:val="sv-SE"/>
        </w:rPr>
        <w:t>ự</w:t>
      </w:r>
      <w:r w:rsidRPr="007E4E42">
        <w:rPr>
          <w:bCs/>
          <w:lang w:val="sv-SE"/>
        </w:rPr>
        <w:t xml:space="preserve"> thay </w:t>
      </w:r>
      <w:r w:rsidRPr="007E4E42">
        <w:rPr>
          <w:rFonts w:cs="Calibri"/>
          <w:bCs/>
          <w:lang w:val="sv-SE"/>
        </w:rPr>
        <w:t>đổ</w:t>
      </w:r>
      <w:r w:rsidRPr="007E4E42">
        <w:rPr>
          <w:bCs/>
          <w:lang w:val="sv-SE"/>
        </w:rPr>
        <w:t>i c</w:t>
      </w:r>
      <w:r w:rsidRPr="007E4E42">
        <w:rPr>
          <w:rFonts w:cs="Calibri"/>
          <w:bCs/>
          <w:lang w:val="sv-SE"/>
        </w:rPr>
        <w:t>ầ</w:t>
      </w:r>
      <w:r w:rsidRPr="007E4E42">
        <w:rPr>
          <w:bCs/>
          <w:lang w:val="sv-SE"/>
        </w:rPr>
        <w:t xml:space="preserve">n </w:t>
      </w:r>
      <w:r w:rsidRPr="007E4E42">
        <w:rPr>
          <w:rFonts w:cs="Calibri"/>
          <w:bCs/>
          <w:lang w:val="sv-SE"/>
        </w:rPr>
        <w:t>đượ</w:t>
      </w:r>
      <w:r w:rsidRPr="007E4E42">
        <w:rPr>
          <w:bCs/>
          <w:lang w:val="sv-SE"/>
        </w:rPr>
        <w:t>c ch</w:t>
      </w:r>
      <w:r w:rsidRPr="007E4E42">
        <w:rPr>
          <w:rFonts w:cs="Calibri"/>
          <w:bCs/>
          <w:lang w:val="sv-SE"/>
        </w:rPr>
        <w:t>ỉ</w:t>
      </w:r>
      <w:r w:rsidRPr="007E4E42">
        <w:rPr>
          <w:bCs/>
          <w:lang w:val="sv-SE"/>
        </w:rPr>
        <w:t>nh l</w:t>
      </w:r>
      <w:r w:rsidRPr="007E4E42">
        <w:rPr>
          <w:rFonts w:cs=".VnTime"/>
          <w:bCs/>
          <w:lang w:val="sv-SE"/>
        </w:rPr>
        <w:t>ý</w:t>
      </w:r>
      <w:r w:rsidRPr="007E4E42">
        <w:rPr>
          <w:bCs/>
          <w:lang w:val="sv-SE"/>
        </w:rPr>
        <w:t>, bổ sung cho phù hợp</w:t>
      </w:r>
      <w:r w:rsidR="00627593">
        <w:rPr>
          <w:bCs/>
          <w:lang w:val="sv-SE"/>
        </w:rPr>
        <w:t>;</w:t>
      </w:r>
    </w:p>
    <w:p w:rsidR="007E4E42" w:rsidRPr="007E4E42" w:rsidRDefault="007E4E42" w:rsidP="007E4E42">
      <w:pPr>
        <w:tabs>
          <w:tab w:val="left" w:pos="630"/>
          <w:tab w:val="left" w:pos="990"/>
        </w:tabs>
        <w:spacing w:before="120" w:after="120"/>
        <w:jc w:val="both"/>
        <w:rPr>
          <w:spacing w:val="-4"/>
          <w:lang w:val="sv-SE"/>
        </w:rPr>
      </w:pPr>
      <w:r w:rsidRPr="007E4E42">
        <w:rPr>
          <w:spacing w:val="-4"/>
          <w:lang w:val="sv-SE"/>
        </w:rPr>
        <w:t xml:space="preserve">           - M</w:t>
      </w:r>
      <w:r w:rsidRPr="007E4E42">
        <w:rPr>
          <w:rFonts w:cs="Calibri"/>
          <w:spacing w:val="-4"/>
          <w:lang w:val="sv-SE"/>
        </w:rPr>
        <w:t>ộ</w:t>
      </w:r>
      <w:r w:rsidRPr="007E4E42">
        <w:rPr>
          <w:spacing w:val="-4"/>
          <w:lang w:val="sv-SE"/>
        </w:rPr>
        <w:t>t s</w:t>
      </w:r>
      <w:r w:rsidRPr="007E4E42">
        <w:rPr>
          <w:rFonts w:cs="Calibri"/>
          <w:spacing w:val="-4"/>
          <w:lang w:val="sv-SE"/>
        </w:rPr>
        <w:t>ố</w:t>
      </w:r>
      <w:r w:rsidRPr="007E4E42">
        <w:rPr>
          <w:spacing w:val="-4"/>
          <w:lang w:val="sv-SE"/>
        </w:rPr>
        <w:t xml:space="preserve"> h</w:t>
      </w:r>
      <w:r w:rsidRPr="007E4E42">
        <w:rPr>
          <w:rFonts w:cs="Calibri"/>
          <w:spacing w:val="-4"/>
          <w:lang w:val="sv-SE"/>
        </w:rPr>
        <w:t>à</w:t>
      </w:r>
      <w:r w:rsidRPr="007E4E42">
        <w:rPr>
          <w:spacing w:val="-4"/>
          <w:lang w:val="sv-SE"/>
        </w:rPr>
        <w:t>nh vi vi ph</w:t>
      </w:r>
      <w:r w:rsidRPr="007E4E42">
        <w:rPr>
          <w:rFonts w:cs="Calibri"/>
          <w:spacing w:val="-4"/>
          <w:lang w:val="sv-SE"/>
        </w:rPr>
        <w:t>ạ</w:t>
      </w:r>
      <w:r w:rsidRPr="007E4E42">
        <w:rPr>
          <w:spacing w:val="-4"/>
          <w:lang w:val="sv-SE"/>
        </w:rPr>
        <w:t>m c</w:t>
      </w:r>
      <w:r w:rsidRPr="007E4E42">
        <w:rPr>
          <w:rFonts w:cs="Calibri"/>
          <w:spacing w:val="-4"/>
          <w:lang w:val="sv-SE"/>
        </w:rPr>
        <w:t>ầ</w:t>
      </w:r>
      <w:r w:rsidRPr="007E4E42">
        <w:rPr>
          <w:spacing w:val="-4"/>
          <w:lang w:val="sv-SE"/>
        </w:rPr>
        <w:t xml:space="preserve">n </w:t>
      </w:r>
      <w:r w:rsidRPr="007E4E42">
        <w:rPr>
          <w:rFonts w:cs="Calibri"/>
          <w:spacing w:val="-4"/>
          <w:lang w:val="sv-SE"/>
        </w:rPr>
        <w:t>đượ</w:t>
      </w:r>
      <w:r w:rsidRPr="007E4E42">
        <w:rPr>
          <w:spacing w:val="-4"/>
          <w:lang w:val="sv-SE"/>
        </w:rPr>
        <w:t>c ch</w:t>
      </w:r>
      <w:r w:rsidRPr="007E4E42">
        <w:rPr>
          <w:rFonts w:cs="Calibri"/>
          <w:spacing w:val="-4"/>
          <w:lang w:val="sv-SE"/>
        </w:rPr>
        <w:t>ỉ</w:t>
      </w:r>
      <w:r w:rsidRPr="007E4E42">
        <w:rPr>
          <w:spacing w:val="-4"/>
          <w:lang w:val="sv-SE"/>
        </w:rPr>
        <w:t>nh s</w:t>
      </w:r>
      <w:r w:rsidRPr="007E4E42">
        <w:rPr>
          <w:rFonts w:cs="Calibri"/>
          <w:spacing w:val="-4"/>
          <w:lang w:val="sv-SE"/>
        </w:rPr>
        <w:t>ử</w:t>
      </w:r>
      <w:r w:rsidRPr="007E4E42">
        <w:rPr>
          <w:spacing w:val="-4"/>
          <w:lang w:val="sv-SE"/>
        </w:rPr>
        <w:t>a, b</w:t>
      </w:r>
      <w:r w:rsidRPr="007E4E42">
        <w:rPr>
          <w:rFonts w:cs=".VnTime"/>
          <w:spacing w:val="-4"/>
          <w:lang w:val="sv-SE"/>
        </w:rPr>
        <w:t>ã</w:t>
      </w:r>
      <w:r w:rsidRPr="007E4E42">
        <w:rPr>
          <w:spacing w:val="-4"/>
          <w:lang w:val="sv-SE"/>
        </w:rPr>
        <w:t>i b</w:t>
      </w:r>
      <w:r w:rsidRPr="007E4E42">
        <w:rPr>
          <w:rFonts w:cs="Calibri"/>
          <w:spacing w:val="-4"/>
          <w:lang w:val="sv-SE"/>
        </w:rPr>
        <w:t>ỏ</w:t>
      </w:r>
      <w:r w:rsidRPr="007E4E42">
        <w:rPr>
          <w:spacing w:val="-4"/>
          <w:lang w:val="sv-SE"/>
        </w:rPr>
        <w:t xml:space="preserve"> </w:t>
      </w:r>
      <w:r w:rsidRPr="007E4E42">
        <w:rPr>
          <w:rFonts w:cs="Calibri"/>
          <w:spacing w:val="-4"/>
          <w:lang w:val="sv-SE"/>
        </w:rPr>
        <w:t>để</w:t>
      </w:r>
      <w:r w:rsidRPr="007E4E42">
        <w:rPr>
          <w:spacing w:val="-4"/>
          <w:lang w:val="sv-SE"/>
        </w:rPr>
        <w:t xml:space="preserve"> ph</w:t>
      </w:r>
      <w:r w:rsidRPr="007E4E42">
        <w:rPr>
          <w:rFonts w:cs=".VnTime"/>
          <w:spacing w:val="-4"/>
          <w:lang w:val="sv-SE"/>
        </w:rPr>
        <w:t>ù</w:t>
      </w:r>
      <w:r w:rsidRPr="007E4E42">
        <w:rPr>
          <w:spacing w:val="-4"/>
          <w:lang w:val="sv-SE"/>
        </w:rPr>
        <w:t xml:space="preserve"> h</w:t>
      </w:r>
      <w:r w:rsidRPr="007E4E42">
        <w:rPr>
          <w:rFonts w:cs="Calibri"/>
          <w:spacing w:val="-4"/>
          <w:lang w:val="sv-SE"/>
        </w:rPr>
        <w:t>ợ</w:t>
      </w:r>
      <w:r w:rsidRPr="007E4E42">
        <w:rPr>
          <w:spacing w:val="-4"/>
          <w:lang w:val="sv-SE"/>
        </w:rPr>
        <w:t xml:space="preserve">p quy </w:t>
      </w:r>
      <w:r w:rsidRPr="007E4E42">
        <w:rPr>
          <w:rFonts w:cs="Calibri"/>
          <w:spacing w:val="-4"/>
          <w:lang w:val="sv-SE"/>
        </w:rPr>
        <w:t>đị</w:t>
      </w:r>
      <w:r w:rsidRPr="007E4E42">
        <w:rPr>
          <w:spacing w:val="-4"/>
          <w:lang w:val="sv-SE"/>
        </w:rPr>
        <w:t>nh m</w:t>
      </w:r>
      <w:r w:rsidRPr="007E4E42">
        <w:rPr>
          <w:rFonts w:cs="Calibri"/>
          <w:spacing w:val="-4"/>
          <w:lang w:val="sv-SE"/>
        </w:rPr>
        <w:t>ớ</w:t>
      </w:r>
      <w:r w:rsidRPr="007E4E42">
        <w:rPr>
          <w:spacing w:val="-4"/>
          <w:lang w:val="sv-SE"/>
        </w:rPr>
        <w:t>i: hành vi kinh doanh mũ bảo hiểm (Điều 28); hành vi hành vi pha chế khí (Điều 29); hành vi liên quan đến sử dụng mã số mã vạch nước ngoài (Điều 32);</w:t>
      </w:r>
    </w:p>
    <w:p w:rsidR="007E4E42" w:rsidRPr="007E4E42" w:rsidRDefault="007E4E42" w:rsidP="007E4E42">
      <w:pPr>
        <w:shd w:val="clear" w:color="auto" w:fill="FFFFFF"/>
        <w:tabs>
          <w:tab w:val="left" w:pos="720"/>
          <w:tab w:val="left" w:pos="851"/>
          <w:tab w:val="left" w:pos="990"/>
        </w:tabs>
        <w:spacing w:before="120" w:after="120"/>
        <w:jc w:val="both"/>
        <w:rPr>
          <w:color w:val="000000"/>
          <w:lang w:val="sv-SE"/>
        </w:rPr>
      </w:pPr>
      <w:r w:rsidRPr="007E4E42">
        <w:rPr>
          <w:color w:val="000000"/>
          <w:lang w:val="sv-SE"/>
        </w:rPr>
        <w:t xml:space="preserve">           - M</w:t>
      </w:r>
      <w:r w:rsidRPr="007E4E42">
        <w:rPr>
          <w:rFonts w:cs="Calibri"/>
          <w:color w:val="000000"/>
          <w:lang w:val="sv-SE"/>
        </w:rPr>
        <w:t>ộ</w:t>
      </w:r>
      <w:r w:rsidRPr="007E4E42">
        <w:rPr>
          <w:color w:val="000000"/>
          <w:lang w:val="sv-SE"/>
        </w:rPr>
        <w:t>t s</w:t>
      </w:r>
      <w:r w:rsidRPr="007E4E42">
        <w:rPr>
          <w:rFonts w:cs="Calibri"/>
          <w:color w:val="000000"/>
          <w:lang w:val="sv-SE"/>
        </w:rPr>
        <w:t>ố</w:t>
      </w:r>
      <w:r w:rsidRPr="007E4E42">
        <w:rPr>
          <w:color w:val="000000"/>
          <w:lang w:val="sv-SE"/>
        </w:rPr>
        <w:t xml:space="preserve"> h</w:t>
      </w:r>
      <w:r w:rsidRPr="007E4E42">
        <w:rPr>
          <w:rFonts w:cs="Calibri"/>
          <w:color w:val="000000"/>
          <w:lang w:val="sv-SE"/>
        </w:rPr>
        <w:t>à</w:t>
      </w:r>
      <w:r w:rsidRPr="007E4E42">
        <w:rPr>
          <w:color w:val="000000"/>
          <w:lang w:val="sv-SE"/>
        </w:rPr>
        <w:t>nh vi tr</w:t>
      </w:r>
      <w:r w:rsidRPr="007E4E42">
        <w:rPr>
          <w:rFonts w:cs=".VnTime"/>
          <w:color w:val="000000"/>
          <w:lang w:val="sv-SE"/>
        </w:rPr>
        <w:t>ù</w:t>
      </w:r>
      <w:r w:rsidRPr="007E4E42">
        <w:rPr>
          <w:color w:val="000000"/>
          <w:lang w:val="sv-SE"/>
        </w:rPr>
        <w:t>ng l</w:t>
      </w:r>
      <w:r w:rsidRPr="007E4E42">
        <w:rPr>
          <w:rFonts w:cs="Calibri"/>
          <w:color w:val="000000"/>
          <w:lang w:val="sv-SE"/>
        </w:rPr>
        <w:t>ặ</w:t>
      </w:r>
      <w:r w:rsidRPr="007E4E42">
        <w:rPr>
          <w:color w:val="000000"/>
          <w:lang w:val="sv-SE"/>
        </w:rPr>
        <w:t>p v</w:t>
      </w:r>
      <w:r w:rsidRPr="007E4E42">
        <w:rPr>
          <w:rFonts w:cs="Calibri"/>
          <w:color w:val="000000"/>
          <w:lang w:val="sv-SE"/>
        </w:rPr>
        <w:t>ớ</w:t>
      </w:r>
      <w:r w:rsidRPr="007E4E42">
        <w:rPr>
          <w:color w:val="000000"/>
          <w:lang w:val="sv-SE"/>
        </w:rPr>
        <w:t xml:space="preserve">i quy </w:t>
      </w:r>
      <w:r w:rsidRPr="007E4E42">
        <w:rPr>
          <w:rFonts w:cs="Calibri"/>
          <w:color w:val="000000"/>
          <w:lang w:val="sv-SE"/>
        </w:rPr>
        <w:t>đị</w:t>
      </w:r>
      <w:r w:rsidRPr="007E4E42">
        <w:rPr>
          <w:color w:val="000000"/>
          <w:lang w:val="sv-SE"/>
        </w:rPr>
        <w:t>nh v</w:t>
      </w:r>
      <w:r w:rsidRPr="007E4E42">
        <w:rPr>
          <w:rFonts w:cs="Calibri"/>
          <w:color w:val="000000"/>
          <w:lang w:val="sv-SE"/>
        </w:rPr>
        <w:t>ề</w:t>
      </w:r>
      <w:r w:rsidRPr="007E4E42">
        <w:rPr>
          <w:color w:val="000000"/>
          <w:lang w:val="sv-SE"/>
        </w:rPr>
        <w:t xml:space="preserve"> h</w:t>
      </w:r>
      <w:r w:rsidRPr="007E4E42">
        <w:rPr>
          <w:rFonts w:cs="Calibri"/>
          <w:color w:val="000000"/>
          <w:lang w:val="sv-SE"/>
        </w:rPr>
        <w:t>à</w:t>
      </w:r>
      <w:r w:rsidRPr="007E4E42">
        <w:rPr>
          <w:color w:val="000000"/>
          <w:lang w:val="sv-SE"/>
        </w:rPr>
        <w:t>ng gi</w:t>
      </w:r>
      <w:r w:rsidRPr="007E4E42">
        <w:rPr>
          <w:rFonts w:cs="Calibri"/>
          <w:color w:val="000000"/>
          <w:lang w:val="sv-SE"/>
        </w:rPr>
        <w:t>ả</w:t>
      </w:r>
      <w:r w:rsidRPr="007E4E42">
        <w:rPr>
          <w:color w:val="000000"/>
          <w:lang w:val="sv-SE"/>
        </w:rPr>
        <w:t xml:space="preserve"> trong lĩnh vực thương mại (k</w:t>
      </w:r>
      <w:r w:rsidRPr="007E4E42">
        <w:rPr>
          <w:lang w:val="sv-SE" w:eastAsia="vi-VN"/>
        </w:rPr>
        <w:t>hoản 5, khoản 6 Điều 31)</w:t>
      </w:r>
      <w:r w:rsidR="00627593">
        <w:rPr>
          <w:lang w:val="sv-SE" w:eastAsia="vi-VN"/>
        </w:rPr>
        <w:t>.</w:t>
      </w:r>
    </w:p>
    <w:p w:rsidR="00F952F4" w:rsidRDefault="00F952F4" w:rsidP="002057A9">
      <w:pPr>
        <w:widowControl w:val="0"/>
        <w:spacing w:before="240" w:after="120"/>
        <w:ind w:firstLine="720"/>
        <w:jc w:val="both"/>
        <w:rPr>
          <w:b/>
        </w:rPr>
      </w:pPr>
      <w:r w:rsidRPr="005F1FB3">
        <w:rPr>
          <w:b/>
        </w:rPr>
        <w:t>3. Nguyên</w:t>
      </w:r>
      <w:r>
        <w:rPr>
          <w:b/>
        </w:rPr>
        <w:t xml:space="preserve"> nhân của những khó khăn, vướng mắc</w:t>
      </w:r>
    </w:p>
    <w:p w:rsidR="00CE57E1" w:rsidRPr="00E71BA8" w:rsidRDefault="00373008" w:rsidP="00CE57E1">
      <w:pPr>
        <w:tabs>
          <w:tab w:val="left" w:pos="630"/>
          <w:tab w:val="left" w:pos="990"/>
        </w:tabs>
        <w:spacing w:before="120" w:after="120"/>
        <w:ind w:firstLine="720"/>
        <w:jc w:val="both"/>
        <w:rPr>
          <w:spacing w:val="-4"/>
          <w:lang w:val="sv-SE"/>
        </w:rPr>
      </w:pPr>
      <w:r w:rsidRPr="00E71BA8">
        <w:rPr>
          <w:color w:val="000000"/>
          <w:spacing w:val="-4"/>
          <w:kern w:val="28"/>
          <w:shd w:val="clear" w:color="auto" w:fill="FFFFFF"/>
          <w:lang w:val="sv-SE"/>
        </w:rPr>
        <w:t>- S</w:t>
      </w:r>
      <w:r w:rsidR="00CE57E1" w:rsidRPr="00E71BA8">
        <w:rPr>
          <w:color w:val="000000"/>
          <w:spacing w:val="-4"/>
          <w:kern w:val="28"/>
          <w:shd w:val="clear" w:color="auto" w:fill="FFFFFF"/>
          <w:lang w:val="sv-SE"/>
        </w:rPr>
        <w:t xml:space="preserve">au khi </w:t>
      </w:r>
      <w:r w:rsidR="00CE57E1" w:rsidRPr="00E71BA8">
        <w:rPr>
          <w:color w:val="000000"/>
          <w:spacing w:val="-4"/>
          <w:kern w:val="28"/>
          <w:lang w:val="de-DE"/>
        </w:rPr>
        <w:t xml:space="preserve">Chính phủ ban hành </w:t>
      </w:r>
      <w:r w:rsidR="00CE57E1" w:rsidRPr="00E71BA8">
        <w:rPr>
          <w:color w:val="000000"/>
          <w:spacing w:val="-4"/>
          <w:kern w:val="28"/>
          <w:lang w:val="sv-SE"/>
        </w:rPr>
        <w:t xml:space="preserve">Nghị định số 119/2017/NĐ-CP, để </w:t>
      </w:r>
      <w:r w:rsidR="00CE57E1" w:rsidRPr="00E71BA8">
        <w:rPr>
          <w:color w:val="000000"/>
          <w:spacing w:val="-4"/>
          <w:kern w:val="28"/>
          <w:shd w:val="clear" w:color="auto" w:fill="FFFFFF"/>
          <w:lang w:val="sv-SE"/>
        </w:rPr>
        <w:t xml:space="preserve">hoàn thiện hệ thống văn bản quy phạm pháp luật trong lĩnh vực tiêu chuẩn đo lường chất lượng, phù hợp với yêu cầu của công tác quản lý Nhà nước, trong năm 2018, Bộ KH&amp;CN đã xây dựng và trình Chính phủ ban hành 03 Nghị định, cụ thể: </w:t>
      </w:r>
      <w:r w:rsidR="00CE57E1" w:rsidRPr="00E71BA8">
        <w:rPr>
          <w:color w:val="000000"/>
          <w:spacing w:val="-4"/>
          <w:kern w:val="28"/>
          <w:lang w:val="pt-BR"/>
        </w:rPr>
        <w:t xml:space="preserve">Nghị định số 74/2018/NĐ-CP ngày 15/5/2018 của Chính phủ sửa đổi, bổ sung một số điều của Nghị định số 132/2008/NĐ-CP ngày 31/12/2008 của Chính phủ quy định chi tiết thi hành một số điều Luật chất lượng sản phẩm, hàng hóa; Nghị định số 78/2018/NĐ-CP ngày 16/5/2018 của Chính phủ sửa đổi, bổ sung một số điều của Nghị định số 127/2007/NĐ-CP ngày 01/8/2007 của Chính phủ quy định chi tiết thi hành một số điều Luật tiêu chuẩn và quy chuẩn kỹ thuật; Nghị định số 154/2018/NĐ-CP ngày 09/11/2018 của Chính phủ </w:t>
      </w:r>
      <w:r w:rsidR="00CE57E1" w:rsidRPr="00E71BA8">
        <w:rPr>
          <w:color w:val="000000"/>
          <w:spacing w:val="-4"/>
          <w:kern w:val="28"/>
          <w:shd w:val="clear" w:color="auto" w:fill="FFFFFF"/>
          <w:lang w:val="pt-BR"/>
        </w:rPr>
        <w:t xml:space="preserve">sửa đổi, bổ sung, bãi bỏ một số quy định về điều kiện đầu tư, kinh doanh trong lĩnh vực quản lý nhà nước của Bộ </w:t>
      </w:r>
      <w:r w:rsidR="00CE57E1" w:rsidRPr="00E71BA8">
        <w:rPr>
          <w:color w:val="000000"/>
          <w:spacing w:val="-4"/>
          <w:kern w:val="28"/>
          <w:shd w:val="clear" w:color="auto" w:fill="FFFFFF"/>
          <w:lang w:val="pt-BR"/>
        </w:rPr>
        <w:lastRenderedPageBreak/>
        <w:t>Khoa học và Công nghệ và một số quy định về kiểm tra chuyên ngành. Quyết định số 1258/QĐ-TTg ngày 17/8/2020 của Thủ tướng Chính phủ về việc sửa đổi, bổ sung một số nội dung của Quyết định số 1254/QĐ-TTg ngày 26/9/2018 của Thủ tướng Chính phủ về việc ban hành Kế hoạch hành động thúc đẩy cơ chế một cửa quốc gia, cơ chế một cửa ASEAN, cải cách công tác kiểm tra chuyên ngành đối với hàng hóa xuất khẩu, nhập khẩu và tạo thuận lợi thương mại giai đoạn 2018-2020. Nội dung của các văn bản này đã có nhiều điểm mới trong quản lý Nhà nước cần được quy định hành vi vi phạm trong Nghị định xử phạt vi phạm hành chính, tuy nhiên</w:t>
      </w:r>
      <w:r w:rsidR="00C7161D" w:rsidRPr="00E71BA8">
        <w:rPr>
          <w:color w:val="000000"/>
          <w:spacing w:val="-4"/>
          <w:kern w:val="28"/>
          <w:shd w:val="clear" w:color="auto" w:fill="FFFFFF"/>
          <w:lang w:val="pt-BR"/>
        </w:rPr>
        <w:t>,</w:t>
      </w:r>
      <w:r w:rsidR="00CE57E1" w:rsidRPr="00E71BA8">
        <w:rPr>
          <w:color w:val="000000"/>
          <w:spacing w:val="-4"/>
          <w:kern w:val="28"/>
          <w:shd w:val="clear" w:color="auto" w:fill="FFFFFF"/>
          <w:lang w:val="pt-BR"/>
        </w:rPr>
        <w:t xml:space="preserve"> tại </w:t>
      </w:r>
      <w:r w:rsidR="00CE57E1" w:rsidRPr="00E71BA8">
        <w:rPr>
          <w:color w:val="000000"/>
          <w:spacing w:val="-4"/>
          <w:kern w:val="28"/>
          <w:lang w:val="pt-BR"/>
        </w:rPr>
        <w:t>Nghị định số 119/2017/NĐ-CP chưa quy định đầy đủ những nội dung về các hành vi được quy định trong các văn bản mới về quản lý nhà nước nêu trên.</w:t>
      </w:r>
      <w:r w:rsidR="00CE57E1" w:rsidRPr="00E71BA8">
        <w:rPr>
          <w:spacing w:val="-4"/>
          <w:lang w:val="sv-SE"/>
        </w:rPr>
        <w:t xml:space="preserve"> </w:t>
      </w:r>
    </w:p>
    <w:p w:rsidR="00DC32DB" w:rsidRPr="001E6B00" w:rsidRDefault="00373008" w:rsidP="00DC32DB">
      <w:pPr>
        <w:tabs>
          <w:tab w:val="left" w:pos="990"/>
        </w:tabs>
        <w:spacing w:before="120" w:after="120"/>
        <w:ind w:firstLine="720"/>
        <w:jc w:val="both"/>
        <w:rPr>
          <w:color w:val="000000"/>
          <w:kern w:val="28"/>
          <w:lang w:val="pt-BR"/>
        </w:rPr>
      </w:pPr>
      <w:r>
        <w:rPr>
          <w:color w:val="000000"/>
          <w:kern w:val="28"/>
          <w:shd w:val="clear" w:color="auto" w:fill="FFFFFF"/>
          <w:lang w:val="sv-SE"/>
        </w:rPr>
        <w:t>- Đ</w:t>
      </w:r>
      <w:r w:rsidR="00DC32DB" w:rsidRPr="001E6B00">
        <w:rPr>
          <w:color w:val="000000"/>
          <w:spacing w:val="-4"/>
          <w:kern w:val="28"/>
          <w:lang w:val="pt-BR"/>
        </w:rPr>
        <w:t xml:space="preserve">ể kịp thời và kiên quyết ngăn chặn, xử lý nghiêm các hành vi vi phạm hành chính và hoàn thiện hệ thống pháp lý, </w:t>
      </w:r>
      <w:bookmarkStart w:id="3" w:name="_Hlk52895039"/>
      <w:r w:rsidR="00DC32DB" w:rsidRPr="001E6B00">
        <w:rPr>
          <w:color w:val="000000"/>
          <w:spacing w:val="-4"/>
          <w:kern w:val="28"/>
          <w:lang w:val="pt-BR"/>
        </w:rPr>
        <w:t xml:space="preserve">ngày 31/12/2019, Chính phủ đã ban </w:t>
      </w:r>
      <w:r w:rsidR="00DC32DB" w:rsidRPr="00234C1D">
        <w:rPr>
          <w:color w:val="000000"/>
          <w:spacing w:val="-2"/>
          <w:kern w:val="28"/>
          <w:lang w:val="pt-BR"/>
        </w:rPr>
        <w:t xml:space="preserve">hành Nghị quyết số 119/NQ-CP </w:t>
      </w:r>
      <w:bookmarkStart w:id="4" w:name="loai_1_name"/>
      <w:bookmarkEnd w:id="3"/>
      <w:r w:rsidR="00DC32DB" w:rsidRPr="00234C1D">
        <w:rPr>
          <w:color w:val="000000"/>
          <w:spacing w:val="-2"/>
          <w:kern w:val="28"/>
          <w:lang w:val="pt-BR"/>
        </w:rPr>
        <w:t>về một số biện pháp cấp bách nhằm tăng cường quản lý nhà nước về phòng chống gian lận xuất xứ, chuyển tải hàng hóa bất hợp pháp</w:t>
      </w:r>
      <w:bookmarkEnd w:id="4"/>
      <w:r w:rsidR="00DC32DB" w:rsidRPr="00234C1D">
        <w:rPr>
          <w:color w:val="000000"/>
          <w:spacing w:val="-2"/>
          <w:kern w:val="28"/>
          <w:lang w:val="pt-BR"/>
        </w:rPr>
        <w:t>, tại Nghị quyết số 119/NQ-CP đã giao Bộ Khoa học và Công nghệ phối hợp với các bộ, ngành liên quan nghiên cứu, sửa đổi, bổ sung Nghị định số 119/2017/NĐ-CP ngày 01/11/2017 của Chính phủ quy định về xử phạt vi phạm hành chính trong lĩnh vực tiêu chuẩn, đo lường và chất lượng sản phẩm, hàng hóa.</w:t>
      </w:r>
    </w:p>
    <w:p w:rsidR="004D4580" w:rsidRDefault="002057A9" w:rsidP="007224D9">
      <w:pPr>
        <w:widowControl w:val="0"/>
        <w:numPr>
          <w:ilvl w:val="0"/>
          <w:numId w:val="1"/>
        </w:numPr>
        <w:tabs>
          <w:tab w:val="left" w:pos="900"/>
        </w:tabs>
        <w:autoSpaceDE w:val="0"/>
        <w:autoSpaceDN w:val="0"/>
        <w:spacing w:before="80" w:after="80"/>
        <w:ind w:left="0" w:right="11" w:firstLine="720"/>
        <w:jc w:val="both"/>
        <w:rPr>
          <w:lang w:val="vi-VN"/>
        </w:rPr>
      </w:pPr>
      <w:r w:rsidRPr="00D866BF">
        <w:rPr>
          <w:iCs/>
          <w:lang w:val="vi-VN"/>
        </w:rPr>
        <w:t xml:space="preserve">Một số hành vi đã được quy định nhưng có mức phạt thấp nên không đủ sức răn đe, </w:t>
      </w:r>
      <w:r w:rsidR="00466A7E" w:rsidRPr="00D866BF">
        <w:rPr>
          <w:iCs/>
          <w:spacing w:val="-4"/>
        </w:rPr>
        <w:t>chưa đảm bảo tính hợp lý hoặc chưa thống nhất mức phạt giữa các văn bản khác nhau về cùng một nội dung</w:t>
      </w:r>
      <w:r w:rsidR="00466A7E" w:rsidRPr="00D866BF">
        <w:rPr>
          <w:iCs/>
          <w:lang w:val="vi-VN"/>
        </w:rPr>
        <w:t xml:space="preserve"> nên </w:t>
      </w:r>
      <w:r w:rsidRPr="00D866BF">
        <w:rPr>
          <w:iCs/>
          <w:lang w:val="vi-VN"/>
        </w:rPr>
        <w:t xml:space="preserve">việc xử phạt chưa </w:t>
      </w:r>
      <w:r w:rsidR="007224D9">
        <w:rPr>
          <w:iCs/>
        </w:rPr>
        <w:t>đồng bộ.</w:t>
      </w:r>
    </w:p>
    <w:p w:rsidR="00373008" w:rsidRPr="001E6B00" w:rsidRDefault="007224D9" w:rsidP="00373008">
      <w:pPr>
        <w:keepNext/>
        <w:widowControl w:val="0"/>
        <w:tabs>
          <w:tab w:val="left" w:pos="990"/>
        </w:tabs>
        <w:spacing w:before="120" w:after="120"/>
        <w:ind w:firstLine="720"/>
        <w:jc w:val="both"/>
        <w:rPr>
          <w:bCs/>
        </w:rPr>
      </w:pPr>
      <w:r>
        <w:rPr>
          <w:bCs/>
        </w:rPr>
        <w:t>- M</w:t>
      </w:r>
      <w:r w:rsidR="00373008" w:rsidRPr="001E6B00">
        <w:rPr>
          <w:bCs/>
        </w:rPr>
        <w:t>ột số chức danh có thẩm quyền xử phạt vi phạm hành chính của Công an</w:t>
      </w:r>
      <w:r>
        <w:rPr>
          <w:bCs/>
        </w:rPr>
        <w:t>,</w:t>
      </w:r>
      <w:r w:rsidR="00373008" w:rsidRPr="001E6B00">
        <w:rPr>
          <w:bCs/>
        </w:rPr>
        <w:t xml:space="preserve"> Quản lý thị trường, của </w:t>
      </w:r>
      <w:r w:rsidR="00373008">
        <w:rPr>
          <w:bCs/>
        </w:rPr>
        <w:t>c</w:t>
      </w:r>
      <w:r w:rsidR="00373008" w:rsidRPr="001E6B00">
        <w:rPr>
          <w:bCs/>
        </w:rPr>
        <w:t>ơ quan được giao chức năng thanh tra chuyên ngành thông tin truyền thông</w:t>
      </w:r>
      <w:r w:rsidR="00931E0F">
        <w:rPr>
          <w:bCs/>
        </w:rPr>
        <w:t>, lao động thương binh và xã hội</w:t>
      </w:r>
      <w:r w:rsidR="00373008" w:rsidRPr="001E6B00">
        <w:rPr>
          <w:bCs/>
        </w:rPr>
        <w:t xml:space="preserve"> </w:t>
      </w:r>
      <w:r>
        <w:rPr>
          <w:bCs/>
        </w:rPr>
        <w:t>có sự thay đổi về tên gọi</w:t>
      </w:r>
      <w:r w:rsidR="00AC4F4F">
        <w:rPr>
          <w:bCs/>
        </w:rPr>
        <w:t>.</w:t>
      </w:r>
      <w:r w:rsidR="00373008" w:rsidRPr="001E6B00">
        <w:rPr>
          <w:bCs/>
        </w:rPr>
        <w:t xml:space="preserve"> </w:t>
      </w:r>
    </w:p>
    <w:p w:rsidR="00373008" w:rsidRPr="00201920" w:rsidRDefault="00373008" w:rsidP="00201920">
      <w:pPr>
        <w:widowControl w:val="0"/>
        <w:tabs>
          <w:tab w:val="left" w:pos="900"/>
        </w:tabs>
        <w:autoSpaceDE w:val="0"/>
        <w:autoSpaceDN w:val="0"/>
        <w:spacing w:before="80" w:after="80"/>
        <w:ind w:right="11" w:firstLine="720"/>
        <w:jc w:val="both"/>
        <w:rPr>
          <w:lang w:val="vi-VN"/>
        </w:rPr>
      </w:pPr>
    </w:p>
    <w:p w:rsidR="00F952F4" w:rsidRPr="005F1FB3" w:rsidRDefault="00F952F4" w:rsidP="00F952F4">
      <w:pPr>
        <w:widowControl w:val="0"/>
        <w:autoSpaceDE w:val="0"/>
        <w:autoSpaceDN w:val="0"/>
        <w:adjustRightInd w:val="0"/>
        <w:jc w:val="center"/>
        <w:rPr>
          <w:b/>
        </w:rPr>
      </w:pPr>
      <w:r w:rsidRPr="00766F61">
        <w:rPr>
          <w:b/>
          <w:lang w:val="vi-VN"/>
        </w:rPr>
        <w:t xml:space="preserve">Phần thứ </w:t>
      </w:r>
      <w:r>
        <w:rPr>
          <w:b/>
        </w:rPr>
        <w:t>ba</w:t>
      </w:r>
    </w:p>
    <w:p w:rsidR="00F952F4" w:rsidRPr="006C2AD1" w:rsidRDefault="00F952F4" w:rsidP="00F952F4">
      <w:pPr>
        <w:widowControl w:val="0"/>
        <w:jc w:val="center"/>
        <w:rPr>
          <w:b/>
          <w:spacing w:val="-8"/>
          <w:lang w:val="vi-VN"/>
        </w:rPr>
      </w:pPr>
      <w:r w:rsidRPr="006C2AD1">
        <w:rPr>
          <w:b/>
          <w:spacing w:val="-8"/>
        </w:rPr>
        <w:t>ĐỀ XUẤT SỬA ĐỔI, BỔ SUNG</w:t>
      </w:r>
      <w:r w:rsidR="007D65E8" w:rsidRPr="006C2AD1">
        <w:rPr>
          <w:b/>
          <w:spacing w:val="-8"/>
          <w:lang w:val="vi-VN"/>
        </w:rPr>
        <w:t xml:space="preserve"> </w:t>
      </w:r>
      <w:r w:rsidRPr="006C2AD1">
        <w:rPr>
          <w:b/>
          <w:spacing w:val="-8"/>
        </w:rPr>
        <w:t xml:space="preserve">NGHỊ ĐỊNH </w:t>
      </w:r>
      <w:r w:rsidR="007D65E8" w:rsidRPr="006C2AD1">
        <w:rPr>
          <w:b/>
          <w:spacing w:val="-8"/>
          <w:lang w:val="vi-VN"/>
        </w:rPr>
        <w:t xml:space="preserve">SỐ </w:t>
      </w:r>
      <w:r w:rsidR="006C2AD1">
        <w:rPr>
          <w:b/>
          <w:spacing w:val="-8"/>
        </w:rPr>
        <w:t>119</w:t>
      </w:r>
      <w:r w:rsidR="007D65E8" w:rsidRPr="006C2AD1">
        <w:rPr>
          <w:b/>
          <w:spacing w:val="-8"/>
          <w:lang w:val="vi-VN"/>
        </w:rPr>
        <w:t>/20</w:t>
      </w:r>
      <w:r w:rsidR="005E4957">
        <w:rPr>
          <w:b/>
          <w:spacing w:val="-8"/>
        </w:rPr>
        <w:t>17</w:t>
      </w:r>
      <w:r w:rsidR="007D65E8" w:rsidRPr="006C2AD1">
        <w:rPr>
          <w:b/>
          <w:spacing w:val="-8"/>
          <w:lang w:val="vi-VN"/>
        </w:rPr>
        <w:t>/NĐ-CP</w:t>
      </w:r>
    </w:p>
    <w:p w:rsidR="00627593" w:rsidRDefault="00F952F4" w:rsidP="00E71BA8">
      <w:pPr>
        <w:widowControl w:val="0"/>
        <w:autoSpaceDE w:val="0"/>
        <w:autoSpaceDN w:val="0"/>
        <w:spacing w:before="240" w:after="120"/>
        <w:ind w:right="11" w:firstLine="720"/>
        <w:jc w:val="both"/>
        <w:rPr>
          <w:b/>
        </w:rPr>
      </w:pPr>
      <w:r w:rsidRPr="00D808C1">
        <w:rPr>
          <w:b/>
        </w:rPr>
        <w:t xml:space="preserve">1. </w:t>
      </w:r>
      <w:r w:rsidR="00D56568">
        <w:rPr>
          <w:b/>
        </w:rPr>
        <w:t>N</w:t>
      </w:r>
      <w:r>
        <w:rPr>
          <w:b/>
        </w:rPr>
        <w:t xml:space="preserve">guyên tắc </w:t>
      </w:r>
    </w:p>
    <w:p w:rsidR="00D56568" w:rsidRPr="00E71BA8" w:rsidRDefault="00D56568" w:rsidP="00E71BA8">
      <w:pPr>
        <w:widowControl w:val="0"/>
        <w:autoSpaceDE w:val="0"/>
        <w:autoSpaceDN w:val="0"/>
        <w:spacing w:before="240" w:after="120"/>
        <w:ind w:right="11" w:firstLine="720"/>
        <w:jc w:val="both"/>
        <w:rPr>
          <w:b/>
        </w:rPr>
      </w:pPr>
      <w:r w:rsidRPr="00D56568">
        <w:t xml:space="preserve">Việc xây dựng Nghị định sửa đổi, bổ sung một số điều của Nghị định số 119/2017/NĐ-CP ngày 01/11/2017 của Chính phủ quy định về xử phạt vi phạm hành chính trong lĩnh vực tiêu chuẩn, đo lường và chất lượng sản phẩm, hàng hóa bảo đảm quy định kịp thời, đầy đủ </w:t>
      </w:r>
      <w:r w:rsidRPr="00D56568">
        <w:rPr>
          <w:lang w:val="pt-BR"/>
        </w:rPr>
        <w:t xml:space="preserve">các hành vi vi phạm trong lĩnh vực tiêu chuẩn, đo lường, chất lượng sản phẩm, hàng hóa; </w:t>
      </w:r>
      <w:r w:rsidRPr="00D56568">
        <w:t>đồng bộ giữa các nghị định xử phạt vi phạm hành chính có quy định hành vi liên quan đến tiêu chuẩn, đo lường và chất lượng sản phẩm, hàng hóa và các văn bản pháp luật khác có liên quan; đảm bảo tính răn đe, phòng ngừa, đáp ứng yêu cầu của công tác xử phạt vi phạm hành chính trong lĩnh vực quản lý nhà nước.</w:t>
      </w:r>
    </w:p>
    <w:p w:rsidR="00D56568" w:rsidRPr="00D56568" w:rsidRDefault="00D56568" w:rsidP="00D56568">
      <w:pPr>
        <w:keepNext/>
        <w:widowControl w:val="0"/>
        <w:shd w:val="clear" w:color="auto" w:fill="FFFFFF"/>
        <w:tabs>
          <w:tab w:val="left" w:pos="990"/>
        </w:tabs>
        <w:spacing w:before="120" w:after="120"/>
        <w:ind w:firstLine="720"/>
        <w:jc w:val="both"/>
        <w:textAlignment w:val="top"/>
        <w:rPr>
          <w:b/>
        </w:rPr>
      </w:pPr>
      <w:r w:rsidRPr="00D56568">
        <w:rPr>
          <w:b/>
        </w:rPr>
        <w:lastRenderedPageBreak/>
        <w:t>2. Quan điểm chỉ đạo</w:t>
      </w:r>
    </w:p>
    <w:p w:rsidR="00D56568" w:rsidRPr="00D56568" w:rsidRDefault="00D56568" w:rsidP="00D56568">
      <w:pPr>
        <w:keepNext/>
        <w:widowControl w:val="0"/>
        <w:tabs>
          <w:tab w:val="left" w:pos="990"/>
        </w:tabs>
        <w:spacing w:before="120" w:after="120"/>
        <w:ind w:firstLine="720"/>
        <w:jc w:val="both"/>
        <w:rPr>
          <w:spacing w:val="-4"/>
        </w:rPr>
      </w:pPr>
      <w:r w:rsidRPr="00D56568">
        <w:rPr>
          <w:spacing w:val="-4"/>
        </w:rPr>
        <w:t xml:space="preserve">- Tuân thủ các quy định của Luật Xử lý vi phạm hành chính, Luật Tiêu chuẩn và quy chuẩn kỹ thuật, Luật Chất lượng sản phẩm, hàng hóa, Luật Đo lường, các văn bản hướng dẫn thi hành Luật và các quy định của </w:t>
      </w:r>
      <w:r w:rsidR="00E30D35">
        <w:rPr>
          <w:spacing w:val="-4"/>
        </w:rPr>
        <w:t xml:space="preserve">văn bản quy phạm </w:t>
      </w:r>
      <w:r w:rsidRPr="00D56568">
        <w:rPr>
          <w:spacing w:val="-4"/>
        </w:rPr>
        <w:t>pháp luật liên quan</w:t>
      </w:r>
      <w:r w:rsidR="00E30D35">
        <w:rPr>
          <w:spacing w:val="-4"/>
        </w:rPr>
        <w:t xml:space="preserve"> mới được ban hành</w:t>
      </w:r>
      <w:r w:rsidRPr="00D56568">
        <w:rPr>
          <w:spacing w:val="-4"/>
        </w:rPr>
        <w:t>.</w:t>
      </w:r>
    </w:p>
    <w:p w:rsidR="00D56568" w:rsidRPr="00D56568" w:rsidRDefault="00D56568" w:rsidP="00D56568">
      <w:pPr>
        <w:keepNext/>
        <w:widowControl w:val="0"/>
        <w:tabs>
          <w:tab w:val="left" w:pos="630"/>
          <w:tab w:val="left" w:pos="990"/>
        </w:tabs>
        <w:spacing w:before="120" w:after="120"/>
        <w:ind w:firstLine="720"/>
        <w:jc w:val="both"/>
        <w:rPr>
          <w:bCs/>
          <w:lang w:val="pt-BR"/>
        </w:rPr>
      </w:pPr>
      <w:r w:rsidRPr="00D56568">
        <w:rPr>
          <w:bCs/>
          <w:lang w:val="pt-BR"/>
        </w:rPr>
        <w:t>- Sửa đổi, bổ sung các hành vi vi phạm trong lĩnh vực</w:t>
      </w:r>
      <w:r w:rsidRPr="00D56568">
        <w:rPr>
          <w:spacing w:val="-6"/>
          <w:lang w:val="pt-BR"/>
        </w:rPr>
        <w:t xml:space="preserve"> tiêu chuẩn, đo lường và chất lượng sản phẩm, hàng hoá</w:t>
      </w:r>
      <w:r w:rsidRPr="00D56568">
        <w:rPr>
          <w:bCs/>
          <w:lang w:val="pt-BR"/>
        </w:rPr>
        <w:t>; hình thức xử phạt và các biện pháp khắc phục hậu quả; thẩm quyền xử phạt cho phù hợp với thực tiễn và các văn bản pháp luật có liên quan, đảm bảo tính răn đe, phòng ngừa, xử lý kịp thời, triệt để các hành vi vi phạm.</w:t>
      </w:r>
    </w:p>
    <w:p w:rsidR="00D56568" w:rsidRPr="00D56568" w:rsidRDefault="00D56568" w:rsidP="00D56568">
      <w:pPr>
        <w:keepNext/>
        <w:widowControl w:val="0"/>
        <w:tabs>
          <w:tab w:val="left" w:pos="990"/>
        </w:tabs>
        <w:spacing w:before="120" w:after="120"/>
        <w:ind w:firstLine="720"/>
        <w:jc w:val="both"/>
        <w:rPr>
          <w:lang w:val="pt-BR"/>
        </w:rPr>
      </w:pPr>
      <w:r w:rsidRPr="00D56568">
        <w:rPr>
          <w:lang w:val="pt-BR"/>
        </w:rPr>
        <w:t xml:space="preserve">- Tạo cơ sở pháp lý vững chắc cho cơ quan, người có thẩm quyền xử phạt, tăng cường hiệu lực, hiệu quả công tác thanh tra, kiểm tra và xử lý vi phạm, góp phần vào việc nâng cao hiệu lực, hiệu quả quản lý nhà nước. </w:t>
      </w:r>
    </w:p>
    <w:p w:rsidR="009A7FE7" w:rsidRDefault="0084587F" w:rsidP="009A7FE7">
      <w:pPr>
        <w:widowControl w:val="0"/>
        <w:autoSpaceDE w:val="0"/>
        <w:autoSpaceDN w:val="0"/>
        <w:spacing w:before="120" w:after="120"/>
        <w:ind w:right="11" w:firstLine="720"/>
        <w:jc w:val="both"/>
        <w:rPr>
          <w:b/>
          <w:lang w:val="vi-VN"/>
        </w:rPr>
      </w:pPr>
      <w:r>
        <w:rPr>
          <w:b/>
        </w:rPr>
        <w:t>3</w:t>
      </w:r>
      <w:r w:rsidR="00F952F4">
        <w:rPr>
          <w:b/>
        </w:rPr>
        <w:t xml:space="preserve">. Nội dung đề xuất sửa đổi, bổ sung Nghị định </w:t>
      </w:r>
      <w:r w:rsidR="00AC4F4F">
        <w:rPr>
          <w:b/>
        </w:rPr>
        <w:t>119</w:t>
      </w:r>
      <w:r w:rsidR="00AF030B">
        <w:rPr>
          <w:b/>
          <w:lang w:val="vi-VN"/>
        </w:rPr>
        <w:t>/20</w:t>
      </w:r>
      <w:r w:rsidR="00AC4F4F">
        <w:rPr>
          <w:b/>
        </w:rPr>
        <w:t>20</w:t>
      </w:r>
      <w:r w:rsidR="00AF030B">
        <w:rPr>
          <w:b/>
          <w:lang w:val="vi-VN"/>
        </w:rPr>
        <w:t>/NĐ-CP</w:t>
      </w:r>
    </w:p>
    <w:p w:rsidR="00EE1730" w:rsidRPr="003B4C2E" w:rsidRDefault="00EE1730" w:rsidP="00EE1730">
      <w:pPr>
        <w:pStyle w:val="Title"/>
        <w:keepNext/>
        <w:widowControl w:val="0"/>
        <w:tabs>
          <w:tab w:val="left" w:pos="990"/>
        </w:tabs>
        <w:spacing w:before="120" w:after="120"/>
        <w:ind w:firstLine="720"/>
        <w:jc w:val="both"/>
        <w:rPr>
          <w:b w:val="0"/>
          <w:bCs w:val="0"/>
          <w:sz w:val="28"/>
          <w:szCs w:val="28"/>
          <w:lang w:val="pt-BR"/>
        </w:rPr>
      </w:pPr>
      <w:r w:rsidRPr="00AA5BE7">
        <w:rPr>
          <w:b w:val="0"/>
          <w:bCs w:val="0"/>
          <w:sz w:val="28"/>
          <w:szCs w:val="28"/>
          <w:lang w:val="pt-BR"/>
        </w:rPr>
        <w:t>Qua triển khai áp dụng Nghị định số 119/2017/NĐ-CP, để phù hợp với quy định của luật chuyên ngành liên quan</w:t>
      </w:r>
      <w:r w:rsidRPr="00AA5BE7">
        <w:rPr>
          <w:b w:val="0"/>
          <w:bCs w:val="0"/>
          <w:spacing w:val="-4"/>
          <w:sz w:val="28"/>
          <w:szCs w:val="28"/>
        </w:rPr>
        <w:t>, các văn bản quy phạm pháp luật mới ban hành và</w:t>
      </w:r>
      <w:r w:rsidRPr="00AA5BE7">
        <w:rPr>
          <w:b w:val="0"/>
          <w:bCs w:val="0"/>
          <w:sz w:val="28"/>
          <w:szCs w:val="28"/>
          <w:lang w:val="pt-BR"/>
        </w:rPr>
        <w:t xml:space="preserve"> đáp ứng yêu cầu thực tiễn, Nghị định sửa đổi, bổ sung Nghị định </w:t>
      </w:r>
      <w:r>
        <w:rPr>
          <w:b w:val="0"/>
          <w:bCs w:val="0"/>
          <w:sz w:val="28"/>
          <w:szCs w:val="28"/>
          <w:lang w:val="pt-BR"/>
        </w:rPr>
        <w:t xml:space="preserve">số </w:t>
      </w:r>
      <w:r w:rsidRPr="003B4C2E">
        <w:rPr>
          <w:b w:val="0"/>
          <w:bCs w:val="0"/>
          <w:sz w:val="28"/>
          <w:szCs w:val="28"/>
          <w:lang w:val="pt-BR"/>
        </w:rPr>
        <w:t>119/2017/NĐ-CP có một số nội dung mới, cụ thể như sau:</w:t>
      </w:r>
    </w:p>
    <w:p w:rsidR="00EE1730" w:rsidRPr="00AA5BE7" w:rsidRDefault="00EE1730" w:rsidP="00EE1730">
      <w:pPr>
        <w:keepNext/>
        <w:widowControl w:val="0"/>
        <w:tabs>
          <w:tab w:val="left" w:pos="990"/>
        </w:tabs>
        <w:spacing w:before="120" w:after="120"/>
        <w:ind w:firstLine="720"/>
        <w:jc w:val="both"/>
        <w:rPr>
          <w:b/>
          <w:lang w:val="pt-BR"/>
        </w:rPr>
      </w:pPr>
      <w:r>
        <w:rPr>
          <w:b/>
          <w:lang w:val="pt-BR"/>
        </w:rPr>
        <w:t>3</w:t>
      </w:r>
      <w:r w:rsidRPr="00AA5BE7">
        <w:rPr>
          <w:b/>
          <w:lang w:val="pt-BR"/>
        </w:rPr>
        <w:t>.1. Về hành vi vi phạm</w:t>
      </w:r>
    </w:p>
    <w:p w:rsidR="00EE1730" w:rsidRPr="00AA5BE7" w:rsidRDefault="00EE1730" w:rsidP="00EE1730">
      <w:pPr>
        <w:keepNext/>
        <w:widowControl w:val="0"/>
        <w:tabs>
          <w:tab w:val="left" w:pos="990"/>
        </w:tabs>
        <w:spacing w:before="120" w:after="120"/>
        <w:ind w:firstLine="720"/>
        <w:jc w:val="both"/>
        <w:rPr>
          <w:b/>
          <w:lang w:val="pt-BR"/>
        </w:rPr>
      </w:pPr>
      <w:r w:rsidRPr="00AA5BE7">
        <w:rPr>
          <w:b/>
          <w:lang w:val="pt-BR"/>
        </w:rPr>
        <w:t>Sửa đổi, bổ sung một số hành vi đã được quy định tại Nghị định 119/2017/NĐ-CP. Cụ thể:</w:t>
      </w:r>
    </w:p>
    <w:p w:rsidR="00EE1730" w:rsidRPr="003B4C2E" w:rsidRDefault="00EE1730" w:rsidP="00EE1730">
      <w:pPr>
        <w:keepNext/>
        <w:widowControl w:val="0"/>
        <w:tabs>
          <w:tab w:val="left" w:pos="990"/>
        </w:tabs>
        <w:spacing w:before="120" w:after="120"/>
        <w:ind w:firstLine="720"/>
        <w:jc w:val="both"/>
      </w:pPr>
      <w:r w:rsidRPr="00AA5BE7">
        <w:rPr>
          <w:bCs/>
          <w:lang w:val="pt-BR"/>
        </w:rPr>
        <w:t>- Chỉnh sửa, bổ sung, nâng mức tiền phạt đối với hành vi nhập khẩu</w:t>
      </w:r>
      <w:r>
        <w:rPr>
          <w:bCs/>
          <w:lang w:val="pt-BR"/>
        </w:rPr>
        <w:t xml:space="preserve"> </w:t>
      </w:r>
      <w:r w:rsidRPr="003B4C2E">
        <w:rPr>
          <w:bCs/>
          <w:lang w:val="pt-BR"/>
        </w:rPr>
        <w:t>, sản xuất, buôn bán phương tiện đo</w:t>
      </w:r>
      <w:r w:rsidRPr="00AA5BE7">
        <w:rPr>
          <w:bCs/>
          <w:lang w:val="pt-BR"/>
        </w:rPr>
        <w:t xml:space="preserve">, chuẩn đo lường </w:t>
      </w:r>
      <w:r w:rsidRPr="00AA5BE7">
        <w:rPr>
          <w:lang w:val="vi-VN"/>
        </w:rPr>
        <w:t>không phù hợp với yêu cầu kỹ thuật đo lường đã được tổ chức, cá nhân công bố hoặc cơ quan quản lý về đo lường có thẩm quyền quy định áp dụng</w:t>
      </w:r>
      <w:r>
        <w:t xml:space="preserve"> (Điều 5, Điều 6, Điều 7); nâng</w:t>
      </w:r>
      <w:r w:rsidRPr="003B4C2E">
        <w:t xml:space="preserve"> mức tiền phạt đối với hàng</w:t>
      </w:r>
      <w:r>
        <w:t xml:space="preserve"> hóa</w:t>
      </w:r>
      <w:r w:rsidRPr="003B4C2E">
        <w:t xml:space="preserve"> có chất lượng không phù hợp với tiêu chuẩn công bố áp dụng quy định tại khoản 2 Điều 1</w:t>
      </w:r>
      <w:r>
        <w:t>7</w:t>
      </w:r>
      <w:r w:rsidRPr="003B4C2E">
        <w:t>.</w:t>
      </w:r>
    </w:p>
    <w:p w:rsidR="00EE1730" w:rsidRPr="00084B01" w:rsidRDefault="00EE1730" w:rsidP="00EE1730">
      <w:pPr>
        <w:keepNext/>
        <w:widowControl w:val="0"/>
        <w:tabs>
          <w:tab w:val="left" w:pos="990"/>
        </w:tabs>
        <w:spacing w:before="120" w:after="120"/>
        <w:ind w:firstLine="720"/>
        <w:jc w:val="both"/>
        <w:rPr>
          <w:bCs/>
        </w:rPr>
      </w:pPr>
      <w:r w:rsidRPr="003B4C2E">
        <w:rPr>
          <w:bCs/>
        </w:rPr>
        <w:t>- Bỏ một số quy định</w:t>
      </w:r>
      <w:r>
        <w:rPr>
          <w:bCs/>
        </w:rPr>
        <w:t xml:space="preserve"> do </w:t>
      </w:r>
      <w:r w:rsidRPr="00F843DB">
        <w:rPr>
          <w:bCs/>
        </w:rPr>
        <w:t>đã được hủy b</w:t>
      </w:r>
      <w:r>
        <w:rPr>
          <w:bCs/>
        </w:rPr>
        <w:t>ỏ</w:t>
      </w:r>
      <w:r w:rsidRPr="00F843DB">
        <w:rPr>
          <w:bCs/>
        </w:rPr>
        <w:t xml:space="preserve"> tại các văn bản</w:t>
      </w:r>
      <w:r>
        <w:rPr>
          <w:bCs/>
        </w:rPr>
        <w:t xml:space="preserve"> quy phạm pháp luật đã ban hành:</w:t>
      </w:r>
      <w:r w:rsidRPr="00F843DB">
        <w:rPr>
          <w:bCs/>
        </w:rPr>
        <w:t xml:space="preserve"> quy định về điều kiện sản xuất mũ bảo hiểm (Điều 28), giấy chứng nhận sản xuất, pha chế khí (Điều 29), quy định về sử dụng mã số mã vạch nước ngoài (Điều 32) và </w:t>
      </w:r>
      <w:r>
        <w:rPr>
          <w:bCs/>
        </w:rPr>
        <w:t xml:space="preserve">bỏ </w:t>
      </w:r>
      <w:r w:rsidRPr="00F843DB">
        <w:rPr>
          <w:bCs/>
        </w:rPr>
        <w:t xml:space="preserve">một số </w:t>
      </w:r>
      <w:r>
        <w:rPr>
          <w:bCs/>
        </w:rPr>
        <w:t xml:space="preserve">quy định </w:t>
      </w:r>
      <w:r w:rsidRPr="00F843DB">
        <w:rPr>
          <w:bCs/>
        </w:rPr>
        <w:t>kh</w:t>
      </w:r>
      <w:r w:rsidRPr="00084B01">
        <w:rPr>
          <w:bCs/>
        </w:rPr>
        <w:t xml:space="preserve">ông hợp lý, không khả thi, trùng lặp trong thực tế: </w:t>
      </w:r>
      <w:r w:rsidRPr="00AA5BE7">
        <w:rPr>
          <w:bCs/>
          <w:color w:val="000000"/>
          <w:lang w:val="sv-SE"/>
        </w:rPr>
        <w:t xml:space="preserve">khoản 3, </w:t>
      </w:r>
      <w:r w:rsidRPr="00AA5BE7">
        <w:rPr>
          <w:bCs/>
          <w:lang w:val="sv-SE" w:eastAsia="vi-VN"/>
        </w:rPr>
        <w:t xml:space="preserve">khoản 6, điểm b khoản 7, khoản 8 </w:t>
      </w:r>
      <w:r w:rsidRPr="00AA5BE7">
        <w:rPr>
          <w:bCs/>
          <w:color w:val="000000"/>
          <w:lang w:val="sv-SE"/>
        </w:rPr>
        <w:t>Điều 20, K</w:t>
      </w:r>
      <w:r w:rsidRPr="00AA5BE7">
        <w:rPr>
          <w:bCs/>
          <w:lang w:val="sv-SE" w:eastAsia="vi-VN"/>
        </w:rPr>
        <w:t>hoản 5, khoản 6 Điều 31</w:t>
      </w:r>
      <w:r w:rsidRPr="00084B01">
        <w:rPr>
          <w:bCs/>
        </w:rPr>
        <w:t>.</w:t>
      </w:r>
    </w:p>
    <w:p w:rsidR="00EE1730" w:rsidRPr="00084B01" w:rsidRDefault="00EE1730" w:rsidP="00EE1730">
      <w:pPr>
        <w:keepNext/>
        <w:widowControl w:val="0"/>
        <w:tabs>
          <w:tab w:val="left" w:pos="990"/>
        </w:tabs>
        <w:spacing w:before="120" w:after="120"/>
        <w:ind w:firstLine="720"/>
        <w:jc w:val="both"/>
        <w:rPr>
          <w:bCs/>
        </w:rPr>
      </w:pPr>
      <w:r w:rsidRPr="00F843DB">
        <w:rPr>
          <w:bCs/>
        </w:rPr>
        <w:t xml:space="preserve">- Bổ sung </w:t>
      </w:r>
      <w:r>
        <w:rPr>
          <w:bCs/>
        </w:rPr>
        <w:t xml:space="preserve">01 Điều </w:t>
      </w:r>
      <w:r w:rsidRPr="00F843DB">
        <w:rPr>
          <w:bCs/>
        </w:rPr>
        <w:t>quy định về xuất xứ hàng hóa</w:t>
      </w:r>
      <w:r>
        <w:rPr>
          <w:bCs/>
        </w:rPr>
        <w:t xml:space="preserve"> (Điều 33a)</w:t>
      </w:r>
      <w:r w:rsidRPr="00F843DB">
        <w:rPr>
          <w:bCs/>
        </w:rPr>
        <w:t>.</w:t>
      </w:r>
    </w:p>
    <w:p w:rsidR="00EE1730" w:rsidRPr="00084B01" w:rsidRDefault="00EE1730" w:rsidP="00EE1730">
      <w:pPr>
        <w:keepNext/>
        <w:widowControl w:val="0"/>
        <w:tabs>
          <w:tab w:val="left" w:pos="990"/>
        </w:tabs>
        <w:spacing w:before="120" w:after="120"/>
        <w:ind w:firstLine="720"/>
        <w:jc w:val="both"/>
        <w:rPr>
          <w:b/>
          <w:lang w:val="pt-BR"/>
        </w:rPr>
      </w:pPr>
      <w:r>
        <w:rPr>
          <w:b/>
          <w:lang w:val="pt-BR"/>
        </w:rPr>
        <w:t>3</w:t>
      </w:r>
      <w:r w:rsidRPr="00084B01">
        <w:rPr>
          <w:b/>
          <w:lang w:val="pt-BR"/>
        </w:rPr>
        <w:t>.2. Về hình thức xử phạt</w:t>
      </w:r>
      <w:r>
        <w:rPr>
          <w:b/>
          <w:lang w:val="pt-BR"/>
        </w:rPr>
        <w:t xml:space="preserve"> bổ sung</w:t>
      </w:r>
      <w:r w:rsidRPr="00084B01">
        <w:rPr>
          <w:b/>
          <w:lang w:val="pt-BR"/>
        </w:rPr>
        <w:t xml:space="preserve"> và biện pháp khắc phục hậu quả</w:t>
      </w:r>
    </w:p>
    <w:p w:rsidR="00EE1730" w:rsidRDefault="00EE1730" w:rsidP="00EE1730">
      <w:pPr>
        <w:tabs>
          <w:tab w:val="left" w:pos="630"/>
          <w:tab w:val="left" w:pos="990"/>
        </w:tabs>
        <w:spacing w:before="120" w:after="120"/>
        <w:jc w:val="both"/>
        <w:rPr>
          <w:lang w:val="sv-SE"/>
        </w:rPr>
      </w:pPr>
      <w:r>
        <w:rPr>
          <w:lang w:val="sv-SE"/>
        </w:rPr>
        <w:t xml:space="preserve">          - </w:t>
      </w:r>
      <w:r w:rsidRPr="00AA5BE7">
        <w:rPr>
          <w:lang w:val="sv-SE"/>
        </w:rPr>
        <w:t>Một số biện pháp xử phạt bổ sung không hợp lý: tước quyền sử dụng giấy chứng nhận hợp chuẩn, giấy chứng nhận hợp quy, dấu hợp chuẩn, giấy hợp quy, chứng chỉ công nhận; chứng chỉ kiểm định tại Điều 2, Điều 19 (</w:t>
      </w:r>
      <w:r>
        <w:rPr>
          <w:lang w:val="sv-SE"/>
        </w:rPr>
        <w:t>do</w:t>
      </w:r>
      <w:r w:rsidRPr="00AA5BE7">
        <w:rPr>
          <w:lang w:val="sv-SE"/>
        </w:rPr>
        <w:t xml:space="preserve"> </w:t>
      </w:r>
      <w:r w:rsidRPr="00AA5BE7">
        <w:rPr>
          <w:lang w:val="sv-SE"/>
        </w:rPr>
        <w:lastRenderedPageBreak/>
        <w:t xml:space="preserve">đây không phải là giấy phép, chứng chỉ hành nghề theo quy định tại Điều 21 Luật Xử lý vi phạm hành chính); </w:t>
      </w:r>
    </w:p>
    <w:p w:rsidR="00EE1730" w:rsidRPr="00084B01" w:rsidRDefault="00EE1730" w:rsidP="00EE1730">
      <w:pPr>
        <w:tabs>
          <w:tab w:val="left" w:pos="630"/>
          <w:tab w:val="left" w:pos="990"/>
        </w:tabs>
        <w:spacing w:before="120" w:after="120"/>
        <w:ind w:left="720"/>
        <w:jc w:val="both"/>
        <w:rPr>
          <w:lang w:val="sv-SE"/>
        </w:rPr>
      </w:pPr>
      <w:r>
        <w:rPr>
          <w:lang w:val="sv-SE"/>
        </w:rPr>
        <w:t>- Bổ sung biện pháp xử phạt bổ sung tại Điều 21, Điều 29, Điều 31.</w:t>
      </w:r>
    </w:p>
    <w:p w:rsidR="00EE1730" w:rsidRPr="00AA5BE7" w:rsidRDefault="00EE1730" w:rsidP="00EE1730">
      <w:pPr>
        <w:keepNext/>
        <w:widowControl w:val="0"/>
        <w:tabs>
          <w:tab w:val="left" w:pos="990"/>
        </w:tabs>
        <w:spacing w:before="120" w:after="120"/>
        <w:ind w:firstLine="720"/>
        <w:jc w:val="both"/>
        <w:rPr>
          <w:lang w:val="pt-BR"/>
        </w:rPr>
      </w:pPr>
      <w:r w:rsidRPr="00AA5BE7">
        <w:rPr>
          <w:lang w:val="pt-BR"/>
        </w:rPr>
        <w:t xml:space="preserve">- Bỏ một số biện pháp xử phạt bổ sung, biện pháp khắc phục hậu quả do bỏ hành vi vi phạm </w:t>
      </w:r>
      <w:r>
        <w:rPr>
          <w:lang w:val="pt-BR"/>
        </w:rPr>
        <w:t xml:space="preserve">tại </w:t>
      </w:r>
      <w:r w:rsidRPr="00AA5BE7">
        <w:rPr>
          <w:bCs/>
        </w:rPr>
        <w:t>Điều 28, Điều 29, Điều 3</w:t>
      </w:r>
      <w:r>
        <w:rPr>
          <w:bCs/>
        </w:rPr>
        <w:t>2</w:t>
      </w:r>
      <w:r w:rsidRPr="00AA5BE7">
        <w:rPr>
          <w:lang w:val="pt-BR"/>
        </w:rPr>
        <w:t>;</w:t>
      </w:r>
    </w:p>
    <w:p w:rsidR="00EE1730" w:rsidRPr="00084B01" w:rsidRDefault="00EE1730" w:rsidP="00EE1730">
      <w:pPr>
        <w:keepNext/>
        <w:widowControl w:val="0"/>
        <w:tabs>
          <w:tab w:val="left" w:pos="990"/>
        </w:tabs>
        <w:spacing w:before="120" w:after="120"/>
        <w:ind w:firstLine="720"/>
        <w:jc w:val="both"/>
        <w:rPr>
          <w:lang w:val="pt-BR"/>
        </w:rPr>
      </w:pPr>
      <w:r w:rsidRPr="00AA5BE7">
        <w:rPr>
          <w:lang w:val="pt-BR"/>
        </w:rPr>
        <w:t xml:space="preserve">- Chỉnh sửa, bổ sung một số biện pháp khắc phục hậu quả bảo đảm khả thi và xử lý triệt để hành vi vi phạm tại các Điều 5, 6, 7, 9, </w:t>
      </w:r>
      <w:r>
        <w:rPr>
          <w:lang w:val="pt-BR"/>
        </w:rPr>
        <w:t xml:space="preserve">10, </w:t>
      </w:r>
      <w:r w:rsidRPr="00084B01">
        <w:rPr>
          <w:lang w:val="pt-BR"/>
        </w:rPr>
        <w:t xml:space="preserve">11, </w:t>
      </w:r>
      <w:r>
        <w:rPr>
          <w:lang w:val="pt-BR"/>
        </w:rPr>
        <w:t xml:space="preserve">15, 16, </w:t>
      </w:r>
      <w:r w:rsidRPr="00084B01">
        <w:rPr>
          <w:lang w:val="pt-BR"/>
        </w:rPr>
        <w:t>17, 18, 19, 20, 30</w:t>
      </w:r>
      <w:r>
        <w:rPr>
          <w:lang w:val="pt-BR"/>
        </w:rPr>
        <w:t xml:space="preserve"> và Điều</w:t>
      </w:r>
      <w:r w:rsidRPr="00084B01">
        <w:rPr>
          <w:lang w:val="pt-BR"/>
        </w:rPr>
        <w:t xml:space="preserve"> 31.</w:t>
      </w:r>
    </w:p>
    <w:p w:rsidR="00EE1730" w:rsidRPr="00AA5BE7" w:rsidRDefault="00EE1730" w:rsidP="00EE1730">
      <w:pPr>
        <w:keepNext/>
        <w:widowControl w:val="0"/>
        <w:tabs>
          <w:tab w:val="left" w:pos="990"/>
        </w:tabs>
        <w:spacing w:before="120" w:after="120"/>
        <w:ind w:firstLine="720"/>
        <w:jc w:val="both"/>
        <w:rPr>
          <w:b/>
        </w:rPr>
      </w:pPr>
      <w:r>
        <w:rPr>
          <w:b/>
        </w:rPr>
        <w:t>3</w:t>
      </w:r>
      <w:r w:rsidRPr="00AA5BE7">
        <w:rPr>
          <w:b/>
        </w:rPr>
        <w:t>.3. Về thẩm quyền xử phạt vi phạm hành chính:</w:t>
      </w:r>
    </w:p>
    <w:p w:rsidR="00EE1730" w:rsidRDefault="00EE1730" w:rsidP="00EE1730">
      <w:pPr>
        <w:keepNext/>
        <w:widowControl w:val="0"/>
        <w:tabs>
          <w:tab w:val="left" w:pos="990"/>
        </w:tabs>
        <w:spacing w:before="120" w:after="120"/>
        <w:ind w:firstLine="720"/>
        <w:jc w:val="both"/>
        <w:rPr>
          <w:bCs/>
        </w:rPr>
      </w:pPr>
      <w:r w:rsidRPr="00AA5BE7">
        <w:rPr>
          <w:bCs/>
        </w:rPr>
        <w:t xml:space="preserve">- Chỉnh lý, bổ sung một số chức danh có thẩm quyền xử phạt vi phạm hành chính của Công an (Điều 36), của Quản lý thị trường (Điều 38), </w:t>
      </w:r>
      <w:r>
        <w:rPr>
          <w:bCs/>
        </w:rPr>
        <w:t xml:space="preserve">của Bộ đội Biên phòng (Điều 39), </w:t>
      </w:r>
      <w:r w:rsidRPr="003B4C2E">
        <w:rPr>
          <w:bCs/>
        </w:rPr>
        <w:t xml:space="preserve">của </w:t>
      </w:r>
      <w:r>
        <w:rPr>
          <w:bCs/>
        </w:rPr>
        <w:t>c</w:t>
      </w:r>
      <w:r w:rsidRPr="003B4C2E">
        <w:rPr>
          <w:bCs/>
        </w:rPr>
        <w:t xml:space="preserve">ơ quan được giao chức năng thanh tra chuyên ngành </w:t>
      </w:r>
      <w:r>
        <w:rPr>
          <w:bCs/>
        </w:rPr>
        <w:t>T</w:t>
      </w:r>
      <w:r w:rsidRPr="003B4C2E">
        <w:rPr>
          <w:bCs/>
        </w:rPr>
        <w:t>hông tin truyền thông</w:t>
      </w:r>
      <w:r>
        <w:rPr>
          <w:bCs/>
        </w:rPr>
        <w:t>, Lao động thương binh và xã hội</w:t>
      </w:r>
      <w:r w:rsidRPr="003B4C2E">
        <w:rPr>
          <w:bCs/>
        </w:rPr>
        <w:t xml:space="preserve"> (Điều 41)</w:t>
      </w:r>
      <w:r>
        <w:rPr>
          <w:bCs/>
        </w:rPr>
        <w:t>;</w:t>
      </w:r>
    </w:p>
    <w:p w:rsidR="00EE1730" w:rsidRPr="003B4C2E" w:rsidRDefault="00EE1730" w:rsidP="00EE1730">
      <w:pPr>
        <w:keepNext/>
        <w:widowControl w:val="0"/>
        <w:tabs>
          <w:tab w:val="left" w:pos="990"/>
        </w:tabs>
        <w:spacing w:before="120" w:after="120"/>
        <w:ind w:firstLine="720"/>
        <w:jc w:val="both"/>
        <w:rPr>
          <w:bCs/>
        </w:rPr>
      </w:pPr>
      <w:r>
        <w:rPr>
          <w:bCs/>
        </w:rPr>
        <w:t>- Chỉnh lý, bổ sung quy định người có thẩm quyền lập biên bản vi phạm hành chính (Điều 43).</w:t>
      </w:r>
    </w:p>
    <w:p w:rsidR="00F952F4" w:rsidRDefault="00F952F4" w:rsidP="00F952F4">
      <w:pPr>
        <w:widowControl w:val="0"/>
        <w:autoSpaceDE w:val="0"/>
        <w:autoSpaceDN w:val="0"/>
        <w:spacing w:before="120" w:after="120"/>
        <w:ind w:right="11" w:firstLine="720"/>
        <w:jc w:val="both"/>
        <w:rPr>
          <w:color w:val="000000"/>
        </w:rPr>
      </w:pPr>
    </w:p>
    <w:p w:rsidR="00F952F4" w:rsidRPr="00732CED" w:rsidRDefault="00852027" w:rsidP="00F952F4">
      <w:pPr>
        <w:spacing w:before="120" w:line="360" w:lineRule="exact"/>
        <w:ind w:firstLine="720"/>
        <w:jc w:val="both"/>
        <w:rPr>
          <w:b/>
          <w:lang w:val="vi-VN"/>
        </w:rPr>
      </w:pPr>
      <w:r>
        <w:tab/>
      </w:r>
      <w:r>
        <w:tab/>
      </w:r>
      <w:r>
        <w:tab/>
      </w:r>
      <w:r>
        <w:tab/>
      </w:r>
      <w:r w:rsidR="00F952F4">
        <w:t xml:space="preserve"> </w:t>
      </w:r>
      <w:r w:rsidR="00F952F4" w:rsidRPr="00AF130F">
        <w:rPr>
          <w:b/>
        </w:rPr>
        <w:t xml:space="preserve">BỘ </w:t>
      </w:r>
      <w:r w:rsidR="00732CED">
        <w:rPr>
          <w:b/>
          <w:lang w:val="vi-VN"/>
        </w:rPr>
        <w:t>KHOA HỌC VÀ CÔNG NGHỆ</w:t>
      </w:r>
    </w:p>
    <w:p w:rsidR="00FC3950" w:rsidRDefault="00FC3950"/>
    <w:sectPr w:rsidR="00FC3950" w:rsidSect="00C7161D">
      <w:headerReference w:type="default" r:id="rId7"/>
      <w:footerReference w:type="even" r:id="rId8"/>
      <w:footerReference w:type="default" r:id="rId9"/>
      <w:pgSz w:w="11909" w:h="16834" w:code="9"/>
      <w:pgMar w:top="1247" w:right="1134" w:bottom="1247" w:left="1985"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5D9" w:rsidRDefault="007F55D9" w:rsidP="00D44738">
      <w:r>
        <w:separator/>
      </w:r>
    </w:p>
  </w:endnote>
  <w:endnote w:type="continuationSeparator" w:id="0">
    <w:p w:rsidR="007F55D9" w:rsidRDefault="007F55D9" w:rsidP="00D4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VnTime">
    <w:altName w:val="Times New Roman"/>
    <w:charset w:val="00"/>
    <w:family w:val="swiss"/>
    <w:pitch w:val="variable"/>
    <w:sig w:usb0="00000003" w:usb1="00000000" w:usb2="0000004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E0" w:rsidRDefault="00A041C5" w:rsidP="00CE29E0">
    <w:pPr>
      <w:pStyle w:val="Footer"/>
      <w:framePr w:wrap="around" w:vAnchor="text" w:hAnchor="margin" w:xAlign="center" w:y="1"/>
      <w:rPr>
        <w:rStyle w:val="PageNumber"/>
      </w:rPr>
    </w:pPr>
    <w:r>
      <w:rPr>
        <w:rStyle w:val="PageNumber"/>
      </w:rPr>
      <w:fldChar w:fldCharType="begin"/>
    </w:r>
    <w:r w:rsidR="00CE29E0">
      <w:rPr>
        <w:rStyle w:val="PageNumber"/>
      </w:rPr>
      <w:instrText xml:space="preserve">PAGE  </w:instrText>
    </w:r>
    <w:r>
      <w:rPr>
        <w:rStyle w:val="PageNumber"/>
      </w:rPr>
      <w:fldChar w:fldCharType="end"/>
    </w:r>
  </w:p>
  <w:p w:rsidR="00CE29E0" w:rsidRDefault="00CE29E0" w:rsidP="00CE2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E0" w:rsidRDefault="00CE29E0" w:rsidP="00CE29E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5D9" w:rsidRDefault="007F55D9" w:rsidP="00D44738">
      <w:r>
        <w:separator/>
      </w:r>
    </w:p>
  </w:footnote>
  <w:footnote w:type="continuationSeparator" w:id="0">
    <w:p w:rsidR="007F55D9" w:rsidRDefault="007F55D9" w:rsidP="00D4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069117"/>
      <w:docPartObj>
        <w:docPartGallery w:val="Page Numbers (Top of Page)"/>
        <w:docPartUnique/>
      </w:docPartObj>
    </w:sdtPr>
    <w:sdtEndPr>
      <w:rPr>
        <w:noProof/>
      </w:rPr>
    </w:sdtEndPr>
    <w:sdtContent>
      <w:p w:rsidR="00AC4F4F" w:rsidRDefault="00A041C5">
        <w:pPr>
          <w:pStyle w:val="Header"/>
          <w:jc w:val="center"/>
        </w:pPr>
        <w:r>
          <w:fldChar w:fldCharType="begin"/>
        </w:r>
        <w:r w:rsidR="00AC4F4F">
          <w:instrText xml:space="preserve"> PAGE   \* MERGEFORMAT </w:instrText>
        </w:r>
        <w:r>
          <w:fldChar w:fldCharType="separate"/>
        </w:r>
        <w:r w:rsidR="009914A8">
          <w:rPr>
            <w:noProof/>
          </w:rPr>
          <w:t>8</w:t>
        </w:r>
        <w:r>
          <w:rPr>
            <w:noProof/>
          </w:rPr>
          <w:fldChar w:fldCharType="end"/>
        </w:r>
      </w:p>
    </w:sdtContent>
  </w:sdt>
  <w:p w:rsidR="00AC4F4F" w:rsidRDefault="00AC4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17198"/>
    <w:multiLevelType w:val="hybridMultilevel"/>
    <w:tmpl w:val="7716F55A"/>
    <w:lvl w:ilvl="0" w:tplc="6F323B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9D05B4"/>
    <w:multiLevelType w:val="hybridMultilevel"/>
    <w:tmpl w:val="48F8AD20"/>
    <w:lvl w:ilvl="0" w:tplc="094C23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F4"/>
    <w:rsid w:val="000221F2"/>
    <w:rsid w:val="00045A93"/>
    <w:rsid w:val="000642F8"/>
    <w:rsid w:val="00083EBE"/>
    <w:rsid w:val="00085A4D"/>
    <w:rsid w:val="000C21EC"/>
    <w:rsid w:val="000C5965"/>
    <w:rsid w:val="000D5736"/>
    <w:rsid w:val="000F42FB"/>
    <w:rsid w:val="001048D6"/>
    <w:rsid w:val="00124029"/>
    <w:rsid w:val="00156A7C"/>
    <w:rsid w:val="001655B9"/>
    <w:rsid w:val="00170A85"/>
    <w:rsid w:val="001A068D"/>
    <w:rsid w:val="001A454B"/>
    <w:rsid w:val="001B251A"/>
    <w:rsid w:val="001D3E4A"/>
    <w:rsid w:val="001E2202"/>
    <w:rsid w:val="001E3239"/>
    <w:rsid w:val="00201920"/>
    <w:rsid w:val="002057A9"/>
    <w:rsid w:val="00223A87"/>
    <w:rsid w:val="00234232"/>
    <w:rsid w:val="00234C1D"/>
    <w:rsid w:val="0025400C"/>
    <w:rsid w:val="002551CA"/>
    <w:rsid w:val="00266756"/>
    <w:rsid w:val="002755D5"/>
    <w:rsid w:val="002877AB"/>
    <w:rsid w:val="002A0FBA"/>
    <w:rsid w:val="002B1864"/>
    <w:rsid w:val="002B1965"/>
    <w:rsid w:val="00305FE1"/>
    <w:rsid w:val="00312A39"/>
    <w:rsid w:val="00327C1F"/>
    <w:rsid w:val="00350BD8"/>
    <w:rsid w:val="00350EC6"/>
    <w:rsid w:val="0035133A"/>
    <w:rsid w:val="00371498"/>
    <w:rsid w:val="00373008"/>
    <w:rsid w:val="003A4738"/>
    <w:rsid w:val="003A4D5D"/>
    <w:rsid w:val="003B3C58"/>
    <w:rsid w:val="003B5FD7"/>
    <w:rsid w:val="003F0FA5"/>
    <w:rsid w:val="003F5465"/>
    <w:rsid w:val="003F6F30"/>
    <w:rsid w:val="00402FB2"/>
    <w:rsid w:val="00423210"/>
    <w:rsid w:val="00426B9A"/>
    <w:rsid w:val="00454B23"/>
    <w:rsid w:val="00464EA8"/>
    <w:rsid w:val="00466A7E"/>
    <w:rsid w:val="00470C8D"/>
    <w:rsid w:val="004B6316"/>
    <w:rsid w:val="004C4AEF"/>
    <w:rsid w:val="004D4580"/>
    <w:rsid w:val="004E09D9"/>
    <w:rsid w:val="004F1035"/>
    <w:rsid w:val="004F16CA"/>
    <w:rsid w:val="00523F2F"/>
    <w:rsid w:val="00540C79"/>
    <w:rsid w:val="005639F1"/>
    <w:rsid w:val="0057349D"/>
    <w:rsid w:val="00581DEB"/>
    <w:rsid w:val="0058530D"/>
    <w:rsid w:val="00590283"/>
    <w:rsid w:val="005C3BF5"/>
    <w:rsid w:val="005D72EC"/>
    <w:rsid w:val="005E4957"/>
    <w:rsid w:val="005F2C3B"/>
    <w:rsid w:val="006062EB"/>
    <w:rsid w:val="00611EFB"/>
    <w:rsid w:val="00627593"/>
    <w:rsid w:val="00654867"/>
    <w:rsid w:val="0066004D"/>
    <w:rsid w:val="0068462D"/>
    <w:rsid w:val="006B3FA5"/>
    <w:rsid w:val="006C2AD1"/>
    <w:rsid w:val="006D5EE0"/>
    <w:rsid w:val="006E07AA"/>
    <w:rsid w:val="00701243"/>
    <w:rsid w:val="007040AB"/>
    <w:rsid w:val="00707542"/>
    <w:rsid w:val="00716C9B"/>
    <w:rsid w:val="007224D9"/>
    <w:rsid w:val="00732CED"/>
    <w:rsid w:val="00737A79"/>
    <w:rsid w:val="00741F10"/>
    <w:rsid w:val="007A619C"/>
    <w:rsid w:val="007D65E8"/>
    <w:rsid w:val="007E1FD8"/>
    <w:rsid w:val="007E4E42"/>
    <w:rsid w:val="007E64A3"/>
    <w:rsid w:val="007F55D9"/>
    <w:rsid w:val="00801098"/>
    <w:rsid w:val="00802D05"/>
    <w:rsid w:val="008318F8"/>
    <w:rsid w:val="00831D1C"/>
    <w:rsid w:val="0083373D"/>
    <w:rsid w:val="008357F5"/>
    <w:rsid w:val="00844A64"/>
    <w:rsid w:val="0084587F"/>
    <w:rsid w:val="00852027"/>
    <w:rsid w:val="00884790"/>
    <w:rsid w:val="008867CF"/>
    <w:rsid w:val="008B2F04"/>
    <w:rsid w:val="008B2FC6"/>
    <w:rsid w:val="008B4358"/>
    <w:rsid w:val="008D3DCC"/>
    <w:rsid w:val="008F1D07"/>
    <w:rsid w:val="008F3A57"/>
    <w:rsid w:val="00910DB2"/>
    <w:rsid w:val="00931E0F"/>
    <w:rsid w:val="00934DDC"/>
    <w:rsid w:val="00936288"/>
    <w:rsid w:val="009568A5"/>
    <w:rsid w:val="009649CE"/>
    <w:rsid w:val="00966351"/>
    <w:rsid w:val="00967259"/>
    <w:rsid w:val="0098253A"/>
    <w:rsid w:val="009914A8"/>
    <w:rsid w:val="009A7FE7"/>
    <w:rsid w:val="009C23ED"/>
    <w:rsid w:val="009C7CA0"/>
    <w:rsid w:val="009D07CC"/>
    <w:rsid w:val="009E1F42"/>
    <w:rsid w:val="009F1651"/>
    <w:rsid w:val="009F3773"/>
    <w:rsid w:val="00A041C5"/>
    <w:rsid w:val="00A3412A"/>
    <w:rsid w:val="00A521CB"/>
    <w:rsid w:val="00A74B37"/>
    <w:rsid w:val="00A80148"/>
    <w:rsid w:val="00A868EB"/>
    <w:rsid w:val="00AC2142"/>
    <w:rsid w:val="00AC4F4F"/>
    <w:rsid w:val="00AE12C9"/>
    <w:rsid w:val="00AF030B"/>
    <w:rsid w:val="00AF22E2"/>
    <w:rsid w:val="00B2492A"/>
    <w:rsid w:val="00B73ECB"/>
    <w:rsid w:val="00B9043A"/>
    <w:rsid w:val="00BD4BE8"/>
    <w:rsid w:val="00C25620"/>
    <w:rsid w:val="00C41C8B"/>
    <w:rsid w:val="00C47362"/>
    <w:rsid w:val="00C6237A"/>
    <w:rsid w:val="00C7161D"/>
    <w:rsid w:val="00C93D67"/>
    <w:rsid w:val="00CB1C6A"/>
    <w:rsid w:val="00CC2D42"/>
    <w:rsid w:val="00CD262D"/>
    <w:rsid w:val="00CE29E0"/>
    <w:rsid w:val="00CE57E1"/>
    <w:rsid w:val="00D02737"/>
    <w:rsid w:val="00D11CFB"/>
    <w:rsid w:val="00D23A11"/>
    <w:rsid w:val="00D44738"/>
    <w:rsid w:val="00D4516D"/>
    <w:rsid w:val="00D47575"/>
    <w:rsid w:val="00D5023C"/>
    <w:rsid w:val="00D509D9"/>
    <w:rsid w:val="00D56568"/>
    <w:rsid w:val="00D866BF"/>
    <w:rsid w:val="00D87AE6"/>
    <w:rsid w:val="00DB3134"/>
    <w:rsid w:val="00DB54FE"/>
    <w:rsid w:val="00DC32DB"/>
    <w:rsid w:val="00DD58A4"/>
    <w:rsid w:val="00E0360F"/>
    <w:rsid w:val="00E30D35"/>
    <w:rsid w:val="00E43181"/>
    <w:rsid w:val="00E71BA8"/>
    <w:rsid w:val="00E9225F"/>
    <w:rsid w:val="00EA3875"/>
    <w:rsid w:val="00EA7124"/>
    <w:rsid w:val="00EE1730"/>
    <w:rsid w:val="00EE52C3"/>
    <w:rsid w:val="00EF17AD"/>
    <w:rsid w:val="00F110F6"/>
    <w:rsid w:val="00F21BDC"/>
    <w:rsid w:val="00F362E3"/>
    <w:rsid w:val="00F37395"/>
    <w:rsid w:val="00F631B3"/>
    <w:rsid w:val="00F72D35"/>
    <w:rsid w:val="00F7401C"/>
    <w:rsid w:val="00F82A4A"/>
    <w:rsid w:val="00F916A3"/>
    <w:rsid w:val="00F952F4"/>
    <w:rsid w:val="00FA7A60"/>
    <w:rsid w:val="00FC352E"/>
    <w:rsid w:val="00FC3950"/>
    <w:rsid w:val="00FC537D"/>
    <w:rsid w:val="00FF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B4B9D-2AF8-4DF0-AC98-F6D5A3E4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52F4"/>
    <w:rPr>
      <w:rFonts w:ascii="Times New Roman" w:eastAsia="Times New Roman" w:hAnsi="Times New Roman"/>
      <w:sz w:val="28"/>
      <w:szCs w:val="28"/>
    </w:rPr>
  </w:style>
  <w:style w:type="paragraph" w:styleId="Heading1">
    <w:name w:val="heading 1"/>
    <w:basedOn w:val="Normal"/>
    <w:next w:val="Normal"/>
    <w:link w:val="Heading1Char"/>
    <w:qFormat/>
    <w:rsid w:val="00852027"/>
    <w:pPr>
      <w:keepNext/>
      <w:jc w:val="both"/>
      <w:outlineLvl w:val="0"/>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952F4"/>
    <w:pPr>
      <w:tabs>
        <w:tab w:val="center" w:pos="4680"/>
        <w:tab w:val="right" w:pos="9360"/>
      </w:tabs>
      <w:jc w:val="center"/>
    </w:pPr>
    <w:rPr>
      <w:rFonts w:ascii="Calibri" w:eastAsia="Calibri" w:hAnsi="Calibri"/>
      <w:sz w:val="20"/>
      <w:szCs w:val="20"/>
    </w:rPr>
  </w:style>
  <w:style w:type="character" w:customStyle="1" w:styleId="FooterChar">
    <w:name w:val="Footer Char"/>
    <w:link w:val="Footer"/>
    <w:rsid w:val="00F952F4"/>
    <w:rPr>
      <w:rFonts w:ascii="Calibri" w:eastAsia="Calibri" w:hAnsi="Calibri" w:cs="Times New Roman"/>
    </w:rPr>
  </w:style>
  <w:style w:type="character" w:styleId="PageNumber">
    <w:name w:val="page number"/>
    <w:basedOn w:val="DefaultParagraphFont"/>
    <w:rsid w:val="00F952F4"/>
  </w:style>
  <w:style w:type="paragraph" w:customStyle="1" w:styleId="nddieuthan">
    <w:name w:val="nd_dieu_than"/>
    <w:basedOn w:val="Normal"/>
    <w:rsid w:val="00F952F4"/>
    <w:pPr>
      <w:suppressAutoHyphens/>
      <w:spacing w:before="80" w:line="100" w:lineRule="atLeast"/>
      <w:ind w:firstLine="720"/>
      <w:jc w:val="both"/>
    </w:pPr>
    <w:rPr>
      <w:kern w:val="1"/>
      <w:szCs w:val="20"/>
    </w:rPr>
  </w:style>
  <w:style w:type="character" w:styleId="FootnoteReference">
    <w:name w:val="footnote reference"/>
    <w:aliases w:val="Footnote"/>
    <w:rsid w:val="00D44738"/>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884790"/>
    <w:rPr>
      <w:rFonts w:ascii="UVnTime" w:hAnsi="UVnTime"/>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link w:val="FootnoteText"/>
    <w:rsid w:val="00884790"/>
    <w:rPr>
      <w:rFonts w:ascii="UVnTime" w:eastAsia="Times New Roman" w:hAnsi="UVnTime"/>
    </w:rPr>
  </w:style>
  <w:style w:type="character" w:customStyle="1" w:styleId="Heading1Char">
    <w:name w:val="Heading 1 Char"/>
    <w:basedOn w:val="DefaultParagraphFont"/>
    <w:link w:val="Heading1"/>
    <w:rsid w:val="00852027"/>
    <w:rPr>
      <w:rFonts w:ascii="Times New Roman" w:eastAsia="Times New Roman" w:hAnsi="Times New Roman"/>
      <w:b/>
      <w:bCs/>
      <w:sz w:val="26"/>
      <w:szCs w:val="24"/>
    </w:rPr>
  </w:style>
  <w:style w:type="paragraph" w:styleId="Header">
    <w:name w:val="header"/>
    <w:basedOn w:val="Normal"/>
    <w:link w:val="HeaderChar"/>
    <w:uiPriority w:val="99"/>
    <w:unhideWhenUsed/>
    <w:rsid w:val="00AC4F4F"/>
    <w:pPr>
      <w:tabs>
        <w:tab w:val="center" w:pos="4680"/>
        <w:tab w:val="right" w:pos="9360"/>
      </w:tabs>
    </w:pPr>
  </w:style>
  <w:style w:type="character" w:customStyle="1" w:styleId="HeaderChar">
    <w:name w:val="Header Char"/>
    <w:basedOn w:val="DefaultParagraphFont"/>
    <w:link w:val="Header"/>
    <w:uiPriority w:val="99"/>
    <w:rsid w:val="00AC4F4F"/>
    <w:rPr>
      <w:rFonts w:ascii="Times New Roman" w:eastAsia="Times New Roman" w:hAnsi="Times New Roman"/>
      <w:sz w:val="28"/>
      <w:szCs w:val="28"/>
    </w:rPr>
  </w:style>
  <w:style w:type="paragraph" w:styleId="Title">
    <w:name w:val="Title"/>
    <w:basedOn w:val="Normal"/>
    <w:link w:val="TitleChar"/>
    <w:qFormat/>
    <w:rsid w:val="00EE1730"/>
    <w:pPr>
      <w:jc w:val="center"/>
    </w:pPr>
    <w:rPr>
      <w:b/>
      <w:bCs/>
      <w:sz w:val="24"/>
      <w:szCs w:val="26"/>
    </w:rPr>
  </w:style>
  <w:style w:type="character" w:customStyle="1" w:styleId="TitleChar">
    <w:name w:val="Title Char"/>
    <w:basedOn w:val="DefaultParagraphFont"/>
    <w:link w:val="Title"/>
    <w:rsid w:val="00EE1730"/>
    <w:rPr>
      <w:rFonts w:ascii="Times New Roman" w:eastAsia="Times New Roman" w:hAnsi="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EA1E6-673E-44D3-8DAD-BBAC5C49C6D5}"/>
</file>

<file path=customXml/itemProps2.xml><?xml version="1.0" encoding="utf-8"?>
<ds:datastoreItem xmlns:ds="http://schemas.openxmlformats.org/officeDocument/2006/customXml" ds:itemID="{00775AA0-0C6F-4358-A22B-CE89B2645386}"/>
</file>

<file path=customXml/itemProps3.xml><?xml version="1.0" encoding="utf-8"?>
<ds:datastoreItem xmlns:ds="http://schemas.openxmlformats.org/officeDocument/2006/customXml" ds:itemID="{7532ECD6-27E7-4AB9-920F-1665A6EC8D21}"/>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2020-10-27T07:34:00Z</dcterms:created>
  <dcterms:modified xsi:type="dcterms:W3CDTF">2020-10-27T07:34:00Z</dcterms:modified>
</cp:coreProperties>
</file>